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8D" w:rsidRDefault="0081228D" w:rsidP="00B27AB9">
      <w:pPr>
        <w:spacing w:line="360" w:lineRule="auto"/>
        <w:jc w:val="center"/>
        <w:rPr>
          <w:b/>
          <w:color w:val="4F81BD" w:themeColor="accent1"/>
          <w:sz w:val="32"/>
          <w:szCs w:val="32"/>
        </w:rPr>
      </w:pPr>
      <w:r>
        <w:rPr>
          <w:b/>
          <w:noProof/>
          <w:color w:val="4F81BD" w:themeColor="accent1"/>
          <w:sz w:val="32"/>
          <w:szCs w:val="32"/>
        </w:rPr>
        <w:drawing>
          <wp:anchor distT="0" distB="0" distL="114300" distR="114300" simplePos="0" relativeHeight="251670528" behindDoc="0" locked="0" layoutInCell="1" allowOverlap="1" wp14:anchorId="6DE143EC" wp14:editId="75F7B5E8">
            <wp:simplePos x="0" y="0"/>
            <wp:positionH relativeFrom="column">
              <wp:posOffset>-1081406</wp:posOffset>
            </wp:positionH>
            <wp:positionV relativeFrom="paragraph">
              <wp:posOffset>-914400</wp:posOffset>
            </wp:positionV>
            <wp:extent cx="7482205" cy="2281775"/>
            <wp:effectExtent l="0" t="0" r="10795" b="4445"/>
            <wp:wrapNone/>
            <wp:docPr id="10" name="Picture 10" descr="C:\Users\joanne.starkie\AppData\Local\Microsoft\Windows\Temporary Internet Files\Content.Outlook\9VHC8JO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starkie\AppData\Local\Microsoft\Windows\Temporary Internet Files\Content.Outlook\9VHC8JOT\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5887" cy="2282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28D" w:rsidRDefault="0081228D" w:rsidP="00B27AB9">
      <w:pPr>
        <w:spacing w:line="360" w:lineRule="auto"/>
        <w:jc w:val="center"/>
        <w:rPr>
          <w:b/>
          <w:color w:val="4F81BD" w:themeColor="accent1"/>
          <w:sz w:val="32"/>
          <w:szCs w:val="32"/>
        </w:rPr>
      </w:pPr>
    </w:p>
    <w:p w:rsidR="00C71F22" w:rsidRDefault="00C71F22" w:rsidP="00B27AB9">
      <w:pPr>
        <w:spacing w:line="360" w:lineRule="auto"/>
        <w:jc w:val="center"/>
        <w:rPr>
          <w:b/>
          <w:color w:val="4F81BD" w:themeColor="accent1"/>
          <w:sz w:val="32"/>
          <w:szCs w:val="32"/>
        </w:rPr>
      </w:pPr>
    </w:p>
    <w:p w:rsidR="0081228D" w:rsidRDefault="0081228D" w:rsidP="00B27AB9">
      <w:pPr>
        <w:spacing w:line="360" w:lineRule="auto"/>
        <w:jc w:val="center"/>
        <w:rPr>
          <w:b/>
          <w:color w:val="4F81BD" w:themeColor="accent1"/>
          <w:sz w:val="32"/>
          <w:szCs w:val="32"/>
        </w:rPr>
      </w:pPr>
    </w:p>
    <w:p w:rsidR="0083175B" w:rsidRDefault="0083175B" w:rsidP="0083175B">
      <w:pPr>
        <w:jc w:val="center"/>
        <w:rPr>
          <w:rFonts w:cs="Arial"/>
          <w:b/>
          <w:color w:val="365F91" w:themeColor="accent1" w:themeShade="BF"/>
          <w:sz w:val="32"/>
          <w:szCs w:val="32"/>
        </w:rPr>
      </w:pPr>
      <w:bookmarkStart w:id="0" w:name="_GoBack"/>
      <w:bookmarkEnd w:id="0"/>
      <w:r>
        <w:rPr>
          <w:rFonts w:cs="Arial"/>
          <w:b/>
          <w:color w:val="365F91" w:themeColor="accent1" w:themeShade="BF"/>
          <w:sz w:val="32"/>
          <w:szCs w:val="32"/>
        </w:rPr>
        <w:t>Carers and the 2014 Children and Families Act</w:t>
      </w:r>
    </w:p>
    <w:p w:rsidR="0083175B" w:rsidRDefault="0083175B" w:rsidP="0083175B">
      <w:pPr>
        <w:spacing w:line="360" w:lineRule="auto"/>
        <w:ind w:left="-426"/>
        <w:rPr>
          <w:rFonts w:cs="Arial"/>
          <w:b/>
          <w:color w:val="365F91" w:themeColor="accent1" w:themeShade="BF"/>
        </w:rPr>
      </w:pPr>
    </w:p>
    <w:p w:rsidR="0083175B" w:rsidRDefault="0083175B" w:rsidP="0083175B">
      <w:pPr>
        <w:spacing w:line="360" w:lineRule="auto"/>
        <w:ind w:left="-426"/>
        <w:rPr>
          <w:rFonts w:cs="Arial"/>
          <w:b/>
          <w:color w:val="365F91" w:themeColor="accent1" w:themeShade="BF"/>
        </w:rPr>
      </w:pPr>
      <w:r>
        <w:rPr>
          <w:rFonts w:cs="Arial"/>
          <w:b/>
          <w:color w:val="365F91" w:themeColor="accent1" w:themeShade="BF"/>
        </w:rPr>
        <w:t>Introduction</w:t>
      </w:r>
    </w:p>
    <w:p w:rsidR="0083175B" w:rsidRDefault="0083175B" w:rsidP="0083175B">
      <w:pPr>
        <w:spacing w:line="360" w:lineRule="auto"/>
        <w:ind w:left="-426"/>
        <w:rPr>
          <w:rFonts w:cs="Arial"/>
          <w:color w:val="000000" w:themeColor="text1"/>
        </w:rPr>
      </w:pPr>
    </w:p>
    <w:p w:rsidR="0083175B" w:rsidRDefault="0083175B" w:rsidP="0083175B">
      <w:pPr>
        <w:spacing w:line="360" w:lineRule="auto"/>
        <w:ind w:left="-426"/>
        <w:rPr>
          <w:rFonts w:cs="Arial"/>
          <w:color w:val="000000" w:themeColor="text1"/>
        </w:rPr>
      </w:pPr>
      <w:r>
        <w:rPr>
          <w:rFonts w:cs="Arial"/>
          <w:color w:val="000000" w:themeColor="text1"/>
        </w:rPr>
        <w:t xml:space="preserve">The 2014 Children and Families Act significantly </w:t>
      </w:r>
      <w:proofErr w:type="gramStart"/>
      <w:r>
        <w:rPr>
          <w:rFonts w:cs="Arial"/>
          <w:color w:val="000000" w:themeColor="text1"/>
        </w:rPr>
        <w:t>strengthens</w:t>
      </w:r>
      <w:proofErr w:type="gramEnd"/>
      <w:r>
        <w:rPr>
          <w:rFonts w:cs="Arial"/>
          <w:color w:val="000000" w:themeColor="text1"/>
        </w:rPr>
        <w:t xml:space="preserve"> the rights of young carers.  The main </w:t>
      </w:r>
      <w:proofErr w:type="gramStart"/>
      <w:r>
        <w:rPr>
          <w:rFonts w:cs="Arial"/>
          <w:color w:val="000000" w:themeColor="text1"/>
        </w:rPr>
        <w:t>points of the Act as it applies to young carers is</w:t>
      </w:r>
      <w:proofErr w:type="gramEnd"/>
      <w:r>
        <w:rPr>
          <w:rFonts w:cs="Arial"/>
          <w:color w:val="000000" w:themeColor="text1"/>
        </w:rPr>
        <w:t xml:space="preserve"> set out below:</w:t>
      </w:r>
    </w:p>
    <w:p w:rsidR="0083175B" w:rsidRDefault="0083175B" w:rsidP="0083175B">
      <w:pPr>
        <w:spacing w:line="360" w:lineRule="auto"/>
        <w:ind w:left="-426"/>
        <w:rPr>
          <w:rFonts w:cs="Arial"/>
          <w:color w:val="000000" w:themeColor="text1"/>
        </w:rPr>
      </w:pPr>
    </w:p>
    <w:p w:rsidR="0083175B" w:rsidRDefault="0083175B" w:rsidP="0083175B">
      <w:pPr>
        <w:spacing w:line="360" w:lineRule="auto"/>
        <w:ind w:left="-426"/>
        <w:rPr>
          <w:rFonts w:cs="Arial"/>
          <w:b/>
          <w:color w:val="365F91" w:themeColor="accent1" w:themeShade="BF"/>
        </w:rPr>
      </w:pPr>
      <w:r>
        <w:rPr>
          <w:rFonts w:cs="Arial"/>
          <w:b/>
          <w:color w:val="365F91" w:themeColor="accent1" w:themeShade="BF"/>
        </w:rPr>
        <w:t xml:space="preserve">Young </w:t>
      </w:r>
      <w:r w:rsidRPr="00F868A4">
        <w:rPr>
          <w:rFonts w:cs="Arial"/>
          <w:b/>
          <w:color w:val="365F91" w:themeColor="accent1" w:themeShade="BF"/>
        </w:rPr>
        <w:t>Carer Needs Assessments</w:t>
      </w:r>
    </w:p>
    <w:p w:rsidR="0083175B" w:rsidRPr="00F16B32" w:rsidRDefault="0083175B" w:rsidP="0083175B">
      <w:pPr>
        <w:pStyle w:val="ListParagraph"/>
        <w:spacing w:line="360" w:lineRule="auto"/>
        <w:ind w:left="-426"/>
        <w:rPr>
          <w:rFonts w:cs="Arial"/>
          <w:b/>
          <w:color w:val="365F91" w:themeColor="accent1" w:themeShade="BF"/>
          <w:sz w:val="22"/>
          <w:szCs w:val="22"/>
        </w:rPr>
      </w:pPr>
    </w:p>
    <w:p w:rsidR="0083175B" w:rsidRPr="007A5C5A" w:rsidRDefault="0083175B" w:rsidP="0083175B">
      <w:pPr>
        <w:pStyle w:val="ListParagraph"/>
        <w:numPr>
          <w:ilvl w:val="0"/>
          <w:numId w:val="14"/>
        </w:numPr>
        <w:spacing w:line="360" w:lineRule="auto"/>
        <w:ind w:left="-426" w:hanging="425"/>
        <w:rPr>
          <w:rFonts w:cs="Arial"/>
          <w:b/>
          <w:color w:val="365F91" w:themeColor="accent1" w:themeShade="BF"/>
          <w:sz w:val="22"/>
          <w:szCs w:val="22"/>
        </w:rPr>
      </w:pPr>
      <w:r w:rsidRPr="00F868A4">
        <w:rPr>
          <w:sz w:val="22"/>
          <w:szCs w:val="22"/>
        </w:rPr>
        <w:t>Local authorities must</w:t>
      </w:r>
      <w:r>
        <w:rPr>
          <w:sz w:val="22"/>
          <w:szCs w:val="22"/>
        </w:rPr>
        <w:t xml:space="preserve"> be proactive and</w:t>
      </w:r>
      <w:r w:rsidRPr="00F868A4">
        <w:rPr>
          <w:sz w:val="22"/>
          <w:szCs w:val="22"/>
        </w:rPr>
        <w:t xml:space="preserve"> </w:t>
      </w:r>
      <w:r>
        <w:rPr>
          <w:sz w:val="22"/>
          <w:szCs w:val="22"/>
        </w:rPr>
        <w:t>take “reasonable steps” to identify young carers in their area who have support needs</w:t>
      </w:r>
    </w:p>
    <w:p w:rsidR="0083175B" w:rsidRPr="007A5C5A" w:rsidRDefault="0083175B" w:rsidP="0083175B">
      <w:pPr>
        <w:pStyle w:val="ListParagraph"/>
        <w:numPr>
          <w:ilvl w:val="0"/>
          <w:numId w:val="14"/>
        </w:numPr>
        <w:spacing w:line="360" w:lineRule="auto"/>
        <w:ind w:left="-426" w:hanging="425"/>
        <w:rPr>
          <w:rFonts w:cs="Arial"/>
          <w:b/>
          <w:color w:val="365F91" w:themeColor="accent1" w:themeShade="BF"/>
          <w:sz w:val="22"/>
          <w:szCs w:val="22"/>
        </w:rPr>
      </w:pPr>
      <w:r>
        <w:rPr>
          <w:sz w:val="22"/>
          <w:szCs w:val="22"/>
        </w:rPr>
        <w:t xml:space="preserve">Local authorities must offer to carry out a Young Carer Needs Assessment if they think the child has needs, if the child asks them to, or if the child’s parent asks them to.  It doesn’t matter who they care for, what type of care is provided </w:t>
      </w:r>
    </w:p>
    <w:p w:rsidR="0083175B" w:rsidRPr="008B1CBC" w:rsidRDefault="0083175B" w:rsidP="0083175B">
      <w:pPr>
        <w:pStyle w:val="ListParagraph"/>
        <w:numPr>
          <w:ilvl w:val="0"/>
          <w:numId w:val="14"/>
        </w:numPr>
        <w:spacing w:line="360" w:lineRule="auto"/>
        <w:ind w:left="-426" w:hanging="425"/>
        <w:rPr>
          <w:rFonts w:cs="Arial"/>
          <w:b/>
          <w:color w:val="365F91" w:themeColor="accent1" w:themeShade="BF"/>
          <w:sz w:val="22"/>
          <w:szCs w:val="22"/>
        </w:rPr>
      </w:pPr>
      <w:r>
        <w:rPr>
          <w:sz w:val="22"/>
          <w:szCs w:val="22"/>
        </w:rPr>
        <w:t>The assessment must consider whether it is appropriate for the young person to provide, or continue to provide, care for the person.  It must also consider the young carer’s needs for support and their other needs and wishes</w:t>
      </w:r>
    </w:p>
    <w:p w:rsidR="0083175B" w:rsidRPr="008B1CBC" w:rsidRDefault="0083175B" w:rsidP="0083175B">
      <w:pPr>
        <w:pStyle w:val="ListParagraph"/>
        <w:spacing w:line="360" w:lineRule="auto"/>
        <w:ind w:left="-426"/>
        <w:rPr>
          <w:rFonts w:cs="Arial"/>
          <w:b/>
          <w:color w:val="365F91" w:themeColor="accent1" w:themeShade="BF"/>
          <w:sz w:val="22"/>
          <w:szCs w:val="22"/>
        </w:rPr>
      </w:pPr>
    </w:p>
    <w:p w:rsidR="0083175B" w:rsidRPr="008B1CBC" w:rsidRDefault="0083175B" w:rsidP="0083175B">
      <w:pPr>
        <w:pStyle w:val="ListParagraph"/>
        <w:spacing w:line="360" w:lineRule="auto"/>
        <w:ind w:left="-426"/>
        <w:rPr>
          <w:rFonts w:cs="Arial"/>
          <w:b/>
          <w:color w:val="365F91" w:themeColor="accent1" w:themeShade="BF"/>
          <w:sz w:val="22"/>
          <w:szCs w:val="22"/>
        </w:rPr>
      </w:pPr>
      <w:r>
        <w:rPr>
          <w:rFonts w:cs="Arial"/>
          <w:b/>
          <w:color w:val="365F91" w:themeColor="accent1" w:themeShade="BF"/>
          <w:sz w:val="22"/>
          <w:szCs w:val="22"/>
        </w:rPr>
        <w:t>Offering Support to Carers</w:t>
      </w:r>
    </w:p>
    <w:p w:rsidR="0083175B" w:rsidRPr="00F16B32" w:rsidRDefault="0083175B" w:rsidP="0083175B">
      <w:pPr>
        <w:pStyle w:val="ListParagraph"/>
        <w:spacing w:line="360" w:lineRule="auto"/>
        <w:ind w:left="-426"/>
        <w:rPr>
          <w:rFonts w:cs="Arial"/>
          <w:color w:val="D4000F"/>
          <w:sz w:val="22"/>
          <w:szCs w:val="22"/>
        </w:rPr>
      </w:pPr>
    </w:p>
    <w:p w:rsidR="0083175B" w:rsidRPr="007A5C5A" w:rsidRDefault="0083175B" w:rsidP="0083175B">
      <w:pPr>
        <w:pStyle w:val="ListParagraph"/>
        <w:numPr>
          <w:ilvl w:val="0"/>
          <w:numId w:val="13"/>
        </w:numPr>
        <w:spacing w:line="360" w:lineRule="auto"/>
        <w:ind w:left="-426" w:hanging="425"/>
        <w:rPr>
          <w:rFonts w:cs="Arial"/>
          <w:color w:val="D4000F"/>
          <w:sz w:val="22"/>
          <w:szCs w:val="22"/>
        </w:rPr>
      </w:pPr>
      <w:r>
        <w:rPr>
          <w:rFonts w:cs="Arial"/>
          <w:color w:val="000000" w:themeColor="text1"/>
          <w:sz w:val="22"/>
          <w:szCs w:val="22"/>
        </w:rPr>
        <w:t xml:space="preserve">After the assessment, the local authority must decide what help it should be giving either </w:t>
      </w:r>
      <w:r w:rsidRPr="007A5C5A">
        <w:rPr>
          <w:rFonts w:cs="Arial"/>
          <w:color w:val="000000" w:themeColor="text1"/>
          <w:sz w:val="22"/>
          <w:szCs w:val="22"/>
        </w:rPr>
        <w:t>to the young carer, or to the person being cared for so that the young carer has less demand being placed on them.</w:t>
      </w:r>
    </w:p>
    <w:p w:rsidR="0083175B" w:rsidRPr="007A5C5A" w:rsidRDefault="0083175B" w:rsidP="0083175B">
      <w:pPr>
        <w:pStyle w:val="ListParagraph"/>
        <w:numPr>
          <w:ilvl w:val="0"/>
          <w:numId w:val="13"/>
        </w:numPr>
        <w:spacing w:line="360" w:lineRule="auto"/>
        <w:ind w:left="-426" w:hanging="425"/>
        <w:rPr>
          <w:rFonts w:cs="Arial"/>
          <w:color w:val="D4000F"/>
          <w:sz w:val="22"/>
          <w:szCs w:val="22"/>
        </w:rPr>
      </w:pPr>
      <w:r w:rsidRPr="007A5C5A">
        <w:rPr>
          <w:rFonts w:cs="Arial"/>
          <w:color w:val="000000"/>
          <w:sz w:val="22"/>
          <w:szCs w:val="22"/>
        </w:rPr>
        <w:t xml:space="preserve">The local authority must consider whether to provide services to support a member of the young carer’s family to reduce the young carer’s caring role. </w:t>
      </w:r>
    </w:p>
    <w:p w:rsidR="0083175B" w:rsidRDefault="0083175B" w:rsidP="00B27AB9">
      <w:pPr>
        <w:spacing w:line="360" w:lineRule="auto"/>
        <w:jc w:val="center"/>
        <w:rPr>
          <w:b/>
          <w:color w:val="4F81BD" w:themeColor="accent1"/>
          <w:sz w:val="32"/>
          <w:szCs w:val="32"/>
        </w:rPr>
      </w:pPr>
    </w:p>
    <w:sectPr w:rsidR="008317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3D0"/>
    <w:multiLevelType w:val="hybridMultilevel"/>
    <w:tmpl w:val="1A26A67C"/>
    <w:lvl w:ilvl="0" w:tplc="08090001">
      <w:start w:val="1"/>
      <w:numFmt w:val="bullet"/>
      <w:lvlText w:val=""/>
      <w:lvlJc w:val="left"/>
      <w:pPr>
        <w:ind w:left="720" w:hanging="360"/>
      </w:pPr>
      <w:rPr>
        <w:rFonts w:ascii="Symbol" w:hAnsi="Symbol" w:hint="default"/>
      </w:rPr>
    </w:lvl>
    <w:lvl w:ilvl="1" w:tplc="BD807D24">
      <w:start w:val="5"/>
      <w:numFmt w:val="bullet"/>
      <w:lvlText w:val="-"/>
      <w:lvlJc w:val="left"/>
      <w:pPr>
        <w:ind w:left="1440" w:hanging="360"/>
      </w:pPr>
      <w:rPr>
        <w:rFonts w:ascii="Arial" w:eastAsia="Times New Roman" w:hAnsi="Arial" w:cs="Times New Roman"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93A5E"/>
    <w:multiLevelType w:val="hybridMultilevel"/>
    <w:tmpl w:val="8390B4F8"/>
    <w:lvl w:ilvl="0" w:tplc="1AC2D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F47E48"/>
    <w:multiLevelType w:val="hybridMultilevel"/>
    <w:tmpl w:val="EC0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C39BC"/>
    <w:multiLevelType w:val="hybridMultilevel"/>
    <w:tmpl w:val="717C058C"/>
    <w:lvl w:ilvl="0" w:tplc="97EE2E6C">
      <w:start w:val="9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CD24E6"/>
    <w:multiLevelType w:val="hybridMultilevel"/>
    <w:tmpl w:val="833ABE62"/>
    <w:lvl w:ilvl="0" w:tplc="6944AEEA">
      <w:start w:val="1"/>
      <w:numFmt w:val="bullet"/>
      <w:lvlText w:val="•"/>
      <w:lvlJc w:val="left"/>
      <w:pPr>
        <w:tabs>
          <w:tab w:val="num" w:pos="726"/>
        </w:tabs>
        <w:ind w:left="726" w:hanging="360"/>
      </w:pPr>
      <w:rPr>
        <w:rFonts w:ascii="Times New Roman" w:hAnsi="Times New Roman" w:hint="default"/>
      </w:rPr>
    </w:lvl>
    <w:lvl w:ilvl="1" w:tplc="E6B06FF8" w:tentative="1">
      <w:start w:val="1"/>
      <w:numFmt w:val="bullet"/>
      <w:lvlText w:val="•"/>
      <w:lvlJc w:val="left"/>
      <w:pPr>
        <w:tabs>
          <w:tab w:val="num" w:pos="1446"/>
        </w:tabs>
        <w:ind w:left="1446" w:hanging="360"/>
      </w:pPr>
      <w:rPr>
        <w:rFonts w:ascii="Times New Roman" w:hAnsi="Times New Roman" w:hint="default"/>
      </w:rPr>
    </w:lvl>
    <w:lvl w:ilvl="2" w:tplc="173CB83C" w:tentative="1">
      <w:start w:val="1"/>
      <w:numFmt w:val="bullet"/>
      <w:lvlText w:val="•"/>
      <w:lvlJc w:val="left"/>
      <w:pPr>
        <w:tabs>
          <w:tab w:val="num" w:pos="2166"/>
        </w:tabs>
        <w:ind w:left="2166" w:hanging="360"/>
      </w:pPr>
      <w:rPr>
        <w:rFonts w:ascii="Times New Roman" w:hAnsi="Times New Roman" w:hint="default"/>
      </w:rPr>
    </w:lvl>
    <w:lvl w:ilvl="3" w:tplc="83CC895C" w:tentative="1">
      <w:start w:val="1"/>
      <w:numFmt w:val="bullet"/>
      <w:lvlText w:val="•"/>
      <w:lvlJc w:val="left"/>
      <w:pPr>
        <w:tabs>
          <w:tab w:val="num" w:pos="2886"/>
        </w:tabs>
        <w:ind w:left="2886" w:hanging="360"/>
      </w:pPr>
      <w:rPr>
        <w:rFonts w:ascii="Times New Roman" w:hAnsi="Times New Roman" w:hint="default"/>
      </w:rPr>
    </w:lvl>
    <w:lvl w:ilvl="4" w:tplc="0304ED40" w:tentative="1">
      <w:start w:val="1"/>
      <w:numFmt w:val="bullet"/>
      <w:lvlText w:val="•"/>
      <w:lvlJc w:val="left"/>
      <w:pPr>
        <w:tabs>
          <w:tab w:val="num" w:pos="3606"/>
        </w:tabs>
        <w:ind w:left="3606" w:hanging="360"/>
      </w:pPr>
      <w:rPr>
        <w:rFonts w:ascii="Times New Roman" w:hAnsi="Times New Roman" w:hint="default"/>
      </w:rPr>
    </w:lvl>
    <w:lvl w:ilvl="5" w:tplc="3132D7A8" w:tentative="1">
      <w:start w:val="1"/>
      <w:numFmt w:val="bullet"/>
      <w:lvlText w:val="•"/>
      <w:lvlJc w:val="left"/>
      <w:pPr>
        <w:tabs>
          <w:tab w:val="num" w:pos="4326"/>
        </w:tabs>
        <w:ind w:left="4326" w:hanging="360"/>
      </w:pPr>
      <w:rPr>
        <w:rFonts w:ascii="Times New Roman" w:hAnsi="Times New Roman" w:hint="default"/>
      </w:rPr>
    </w:lvl>
    <w:lvl w:ilvl="6" w:tplc="D89450A0" w:tentative="1">
      <w:start w:val="1"/>
      <w:numFmt w:val="bullet"/>
      <w:lvlText w:val="•"/>
      <w:lvlJc w:val="left"/>
      <w:pPr>
        <w:tabs>
          <w:tab w:val="num" w:pos="5046"/>
        </w:tabs>
        <w:ind w:left="5046" w:hanging="360"/>
      </w:pPr>
      <w:rPr>
        <w:rFonts w:ascii="Times New Roman" w:hAnsi="Times New Roman" w:hint="default"/>
      </w:rPr>
    </w:lvl>
    <w:lvl w:ilvl="7" w:tplc="7ACC6A6A" w:tentative="1">
      <w:start w:val="1"/>
      <w:numFmt w:val="bullet"/>
      <w:lvlText w:val="•"/>
      <w:lvlJc w:val="left"/>
      <w:pPr>
        <w:tabs>
          <w:tab w:val="num" w:pos="5766"/>
        </w:tabs>
        <w:ind w:left="5766" w:hanging="360"/>
      </w:pPr>
      <w:rPr>
        <w:rFonts w:ascii="Times New Roman" w:hAnsi="Times New Roman" w:hint="default"/>
      </w:rPr>
    </w:lvl>
    <w:lvl w:ilvl="8" w:tplc="FC2A6B5C" w:tentative="1">
      <w:start w:val="1"/>
      <w:numFmt w:val="bullet"/>
      <w:lvlText w:val="•"/>
      <w:lvlJc w:val="left"/>
      <w:pPr>
        <w:tabs>
          <w:tab w:val="num" w:pos="6486"/>
        </w:tabs>
        <w:ind w:left="6486" w:hanging="360"/>
      </w:pPr>
      <w:rPr>
        <w:rFonts w:ascii="Times New Roman" w:hAnsi="Times New Roman" w:hint="default"/>
      </w:rPr>
    </w:lvl>
  </w:abstractNum>
  <w:abstractNum w:abstractNumId="5">
    <w:nsid w:val="3C8C0334"/>
    <w:multiLevelType w:val="hybridMultilevel"/>
    <w:tmpl w:val="5AC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251A9E"/>
    <w:multiLevelType w:val="hybridMultilevel"/>
    <w:tmpl w:val="8894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C6BE6"/>
    <w:multiLevelType w:val="hybridMultilevel"/>
    <w:tmpl w:val="412C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09068E"/>
    <w:multiLevelType w:val="hybridMultilevel"/>
    <w:tmpl w:val="529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795E5D"/>
    <w:multiLevelType w:val="hybridMultilevel"/>
    <w:tmpl w:val="D1C6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240793"/>
    <w:multiLevelType w:val="hybridMultilevel"/>
    <w:tmpl w:val="9B44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AC3331"/>
    <w:multiLevelType w:val="hybridMultilevel"/>
    <w:tmpl w:val="15A0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E7577A"/>
    <w:multiLevelType w:val="hybridMultilevel"/>
    <w:tmpl w:val="11C29098"/>
    <w:lvl w:ilvl="0" w:tplc="B9DCCD8E">
      <w:numFmt w:val="bullet"/>
      <w:lvlText w:val="-"/>
      <w:lvlJc w:val="left"/>
      <w:pPr>
        <w:ind w:left="720" w:hanging="360"/>
      </w:pPr>
      <w:rPr>
        <w:rFonts w:ascii="Arial" w:eastAsia="Times New Roman" w:hAnsi="Arial" w:cs="Aria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44544E"/>
    <w:multiLevelType w:val="hybridMultilevel"/>
    <w:tmpl w:val="FDB4A4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10"/>
  </w:num>
  <w:num w:numId="6">
    <w:abstractNumId w:val="6"/>
  </w:num>
  <w:num w:numId="7">
    <w:abstractNumId w:val="4"/>
  </w:num>
  <w:num w:numId="8">
    <w:abstractNumId w:val="0"/>
  </w:num>
  <w:num w:numId="9">
    <w:abstractNumId w:val="8"/>
  </w:num>
  <w:num w:numId="10">
    <w:abstractNumId w:val="11"/>
  </w:num>
  <w:num w:numId="11">
    <w:abstractNumId w:val="13"/>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B9"/>
    <w:rsid w:val="00140DE9"/>
    <w:rsid w:val="002329F5"/>
    <w:rsid w:val="0066510C"/>
    <w:rsid w:val="0081228D"/>
    <w:rsid w:val="00820757"/>
    <w:rsid w:val="0083175B"/>
    <w:rsid w:val="008C1A32"/>
    <w:rsid w:val="00AE0A81"/>
    <w:rsid w:val="00AE4AEC"/>
    <w:rsid w:val="00B27AB9"/>
    <w:rsid w:val="00C67BFB"/>
    <w:rsid w:val="00C71F22"/>
    <w:rsid w:val="00F32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1020</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Starkie</dc:creator>
  <cp:keywords/>
  <dc:description/>
  <cp:lastModifiedBy>Joanne Starkie</cp:lastModifiedBy>
  <cp:revision>2</cp:revision>
  <dcterms:created xsi:type="dcterms:W3CDTF">2018-05-04T12:33:00Z</dcterms:created>
  <dcterms:modified xsi:type="dcterms:W3CDTF">2018-05-04T12:33:00Z</dcterms:modified>
</cp:coreProperties>
</file>