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8D" w:rsidRDefault="0081228D" w:rsidP="00B27AB9">
      <w:pPr>
        <w:spacing w:line="360" w:lineRule="auto"/>
        <w:jc w:val="center"/>
        <w:rPr>
          <w:b/>
          <w:color w:val="4F81BD" w:themeColor="accent1"/>
          <w:sz w:val="32"/>
          <w:szCs w:val="32"/>
        </w:rPr>
      </w:pPr>
      <w:r>
        <w:rPr>
          <w:b/>
          <w:noProof/>
          <w:color w:val="4F81BD" w:themeColor="accent1"/>
          <w:sz w:val="32"/>
          <w:szCs w:val="32"/>
        </w:rPr>
        <w:drawing>
          <wp:anchor distT="0" distB="0" distL="114300" distR="114300" simplePos="0" relativeHeight="251670528" behindDoc="0" locked="0" layoutInCell="1" allowOverlap="1" wp14:anchorId="6DE143EC" wp14:editId="75F7B5E8">
            <wp:simplePos x="0" y="0"/>
            <wp:positionH relativeFrom="column">
              <wp:posOffset>-1081406</wp:posOffset>
            </wp:positionH>
            <wp:positionV relativeFrom="paragraph">
              <wp:posOffset>-914400</wp:posOffset>
            </wp:positionV>
            <wp:extent cx="7482205" cy="2281775"/>
            <wp:effectExtent l="0" t="0" r="10795" b="4445"/>
            <wp:wrapNone/>
            <wp:docPr id="10" name="Picture 10" descr="C:\Users\joanne.starkie\AppData\Local\Microsoft\Windows\Temporary Internet Files\Content.Outlook\9VHC8JO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starkie\AppData\Local\Microsoft\Windows\Temporary Internet Files\Content.Outlook\9VHC8JOT\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5887" cy="2282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28D" w:rsidRDefault="0081228D" w:rsidP="00B27AB9">
      <w:pPr>
        <w:spacing w:line="360" w:lineRule="auto"/>
        <w:jc w:val="center"/>
        <w:rPr>
          <w:b/>
          <w:color w:val="4F81BD" w:themeColor="accent1"/>
          <w:sz w:val="32"/>
          <w:szCs w:val="32"/>
        </w:rPr>
      </w:pPr>
    </w:p>
    <w:p w:rsidR="00C71F22" w:rsidRDefault="00C71F22" w:rsidP="00B27AB9">
      <w:pPr>
        <w:spacing w:line="360" w:lineRule="auto"/>
        <w:jc w:val="center"/>
        <w:rPr>
          <w:b/>
          <w:color w:val="4F81BD" w:themeColor="accent1"/>
          <w:sz w:val="32"/>
          <w:szCs w:val="32"/>
        </w:rPr>
      </w:pPr>
    </w:p>
    <w:p w:rsidR="0081228D" w:rsidRDefault="0081228D" w:rsidP="00B27AB9">
      <w:pPr>
        <w:spacing w:line="360" w:lineRule="auto"/>
        <w:jc w:val="center"/>
        <w:rPr>
          <w:b/>
          <w:color w:val="4F81BD" w:themeColor="accent1"/>
          <w:sz w:val="32"/>
          <w:szCs w:val="32"/>
        </w:rPr>
      </w:pPr>
    </w:p>
    <w:p w:rsidR="007B6C5C" w:rsidRDefault="007B6C5C" w:rsidP="007B6C5C">
      <w:pPr>
        <w:jc w:val="center"/>
        <w:rPr>
          <w:rFonts w:cs="Arial"/>
          <w:b/>
          <w:color w:val="365F91" w:themeColor="accent1" w:themeShade="BF"/>
          <w:sz w:val="32"/>
          <w:szCs w:val="32"/>
        </w:rPr>
      </w:pPr>
      <w:bookmarkStart w:id="0" w:name="_GoBack"/>
      <w:bookmarkEnd w:id="0"/>
      <w:r>
        <w:rPr>
          <w:rFonts w:cs="Arial"/>
          <w:b/>
          <w:color w:val="365F91" w:themeColor="accent1" w:themeShade="BF"/>
          <w:sz w:val="32"/>
          <w:szCs w:val="32"/>
        </w:rPr>
        <w:t>Carers and the 2014 Care Act</w:t>
      </w:r>
    </w:p>
    <w:p w:rsidR="007B6C5C" w:rsidRDefault="007B6C5C" w:rsidP="007B6C5C">
      <w:pPr>
        <w:spacing w:line="360" w:lineRule="auto"/>
        <w:ind w:left="-426"/>
        <w:rPr>
          <w:rFonts w:cs="Arial"/>
          <w:b/>
          <w:color w:val="365F91" w:themeColor="accent1" w:themeShade="BF"/>
        </w:rPr>
      </w:pPr>
    </w:p>
    <w:p w:rsidR="007B6C5C" w:rsidRDefault="007B6C5C" w:rsidP="007B6C5C">
      <w:pPr>
        <w:spacing w:line="360" w:lineRule="auto"/>
        <w:ind w:left="-426"/>
        <w:rPr>
          <w:rFonts w:cs="Arial"/>
          <w:b/>
          <w:color w:val="365F91" w:themeColor="accent1" w:themeShade="BF"/>
        </w:rPr>
      </w:pPr>
      <w:r>
        <w:rPr>
          <w:rFonts w:cs="Arial"/>
          <w:b/>
          <w:color w:val="365F91" w:themeColor="accent1" w:themeShade="BF"/>
        </w:rPr>
        <w:t>Introduction</w:t>
      </w:r>
    </w:p>
    <w:p w:rsidR="007B6C5C" w:rsidRDefault="007B6C5C" w:rsidP="007B6C5C">
      <w:pPr>
        <w:spacing w:line="360" w:lineRule="auto"/>
        <w:ind w:left="-426"/>
        <w:rPr>
          <w:rFonts w:cs="Arial"/>
          <w:color w:val="000000" w:themeColor="text1"/>
        </w:rPr>
      </w:pPr>
      <w:r>
        <w:rPr>
          <w:rFonts w:cs="Arial"/>
          <w:color w:val="000000" w:themeColor="text1"/>
        </w:rPr>
        <w:t>The 2014 Care Act introduced new legal duties for local authorities in relation to carers.  Essentially, the Care Act puts carers on the same legal standing as adults with care needs.  The main points of the Act are set out below.</w:t>
      </w:r>
    </w:p>
    <w:p w:rsidR="007B6C5C" w:rsidRDefault="007B6C5C" w:rsidP="007B6C5C">
      <w:pPr>
        <w:spacing w:line="360" w:lineRule="auto"/>
        <w:ind w:left="-426"/>
        <w:rPr>
          <w:rFonts w:cs="Arial"/>
          <w:color w:val="000000" w:themeColor="text1"/>
        </w:rPr>
      </w:pPr>
    </w:p>
    <w:p w:rsidR="007B6C5C" w:rsidRDefault="007B6C5C" w:rsidP="007B6C5C">
      <w:pPr>
        <w:spacing w:line="360" w:lineRule="auto"/>
        <w:ind w:left="-426"/>
        <w:rPr>
          <w:rFonts w:cs="Arial"/>
          <w:b/>
          <w:color w:val="365F91" w:themeColor="accent1" w:themeShade="BF"/>
        </w:rPr>
      </w:pPr>
      <w:r w:rsidRPr="00F868A4">
        <w:rPr>
          <w:rFonts w:cs="Arial"/>
          <w:b/>
          <w:color w:val="365F91" w:themeColor="accent1" w:themeShade="BF"/>
        </w:rPr>
        <w:t>Carer Needs Assessments</w:t>
      </w:r>
    </w:p>
    <w:p w:rsidR="007B6C5C" w:rsidRPr="008B1CBC" w:rsidRDefault="007B6C5C" w:rsidP="007B6C5C">
      <w:pPr>
        <w:pStyle w:val="ListParagraph"/>
        <w:numPr>
          <w:ilvl w:val="0"/>
          <w:numId w:val="13"/>
        </w:numPr>
        <w:spacing w:line="360" w:lineRule="auto"/>
        <w:ind w:left="-426" w:hanging="425"/>
        <w:rPr>
          <w:rFonts w:cs="Arial"/>
          <w:b/>
          <w:color w:val="365F91" w:themeColor="accent1" w:themeShade="BF"/>
          <w:sz w:val="22"/>
          <w:szCs w:val="22"/>
        </w:rPr>
      </w:pPr>
      <w:r w:rsidRPr="00F868A4">
        <w:rPr>
          <w:sz w:val="22"/>
          <w:szCs w:val="22"/>
        </w:rPr>
        <w:t xml:space="preserve">Local authorities must offer a carer assessment where an individual provides or intends to provide care for another adult and it appears that the carer may have any level of needs </w:t>
      </w:r>
      <w:r w:rsidRPr="008B1CBC">
        <w:rPr>
          <w:rFonts w:cs="Arial"/>
          <w:sz w:val="22"/>
          <w:szCs w:val="22"/>
        </w:rPr>
        <w:t>for support</w:t>
      </w:r>
      <w:r>
        <w:rPr>
          <w:rFonts w:cs="Arial"/>
          <w:sz w:val="22"/>
          <w:szCs w:val="22"/>
        </w:rPr>
        <w:t>.</w:t>
      </w:r>
    </w:p>
    <w:p w:rsidR="007B6C5C" w:rsidRPr="008B1CBC" w:rsidRDefault="007B6C5C" w:rsidP="007B6C5C">
      <w:pPr>
        <w:pStyle w:val="ListParagraph"/>
        <w:spacing w:line="360" w:lineRule="auto"/>
        <w:ind w:left="-426"/>
        <w:rPr>
          <w:rFonts w:cs="Arial"/>
          <w:b/>
          <w:color w:val="365F91" w:themeColor="accent1" w:themeShade="BF"/>
          <w:sz w:val="22"/>
          <w:szCs w:val="22"/>
        </w:rPr>
      </w:pPr>
    </w:p>
    <w:p w:rsidR="007B6C5C" w:rsidRPr="008B1CBC" w:rsidRDefault="007B6C5C" w:rsidP="007B6C5C">
      <w:pPr>
        <w:pStyle w:val="ListParagraph"/>
        <w:spacing w:line="360" w:lineRule="auto"/>
        <w:ind w:left="-426"/>
        <w:rPr>
          <w:rFonts w:cs="Arial"/>
          <w:b/>
          <w:color w:val="365F91" w:themeColor="accent1" w:themeShade="BF"/>
          <w:sz w:val="22"/>
          <w:szCs w:val="22"/>
        </w:rPr>
      </w:pPr>
      <w:r>
        <w:rPr>
          <w:rFonts w:cs="Arial"/>
          <w:b/>
          <w:color w:val="365F91" w:themeColor="accent1" w:themeShade="BF"/>
          <w:sz w:val="22"/>
          <w:szCs w:val="22"/>
        </w:rPr>
        <w:t>Offering Support to Carers</w:t>
      </w:r>
    </w:p>
    <w:p w:rsidR="007B6C5C" w:rsidRPr="008B1CBC" w:rsidRDefault="007B6C5C" w:rsidP="007B6C5C">
      <w:pPr>
        <w:pStyle w:val="ListParagraph"/>
        <w:numPr>
          <w:ilvl w:val="0"/>
          <w:numId w:val="13"/>
        </w:numPr>
        <w:spacing w:line="360" w:lineRule="auto"/>
        <w:ind w:left="-426" w:hanging="425"/>
        <w:rPr>
          <w:rFonts w:cs="Arial"/>
          <w:color w:val="000000" w:themeColor="text1"/>
          <w:sz w:val="22"/>
          <w:szCs w:val="22"/>
        </w:rPr>
      </w:pPr>
      <w:r w:rsidRPr="008B1CBC">
        <w:rPr>
          <w:rFonts w:cs="Arial"/>
          <w:color w:val="000000" w:themeColor="text1"/>
          <w:sz w:val="22"/>
          <w:szCs w:val="22"/>
        </w:rPr>
        <w:t>Local authorities must provide information and advice to carers in relation to social care</w:t>
      </w:r>
      <w:r>
        <w:rPr>
          <w:rFonts w:cs="Arial"/>
          <w:color w:val="000000" w:themeColor="text1"/>
          <w:sz w:val="22"/>
          <w:szCs w:val="22"/>
        </w:rPr>
        <w:t>.</w:t>
      </w:r>
    </w:p>
    <w:p w:rsidR="007B6C5C" w:rsidRPr="008B1CBC" w:rsidRDefault="007B6C5C" w:rsidP="007B6C5C">
      <w:pPr>
        <w:pStyle w:val="ListParagraph"/>
        <w:numPr>
          <w:ilvl w:val="0"/>
          <w:numId w:val="13"/>
        </w:numPr>
        <w:spacing w:line="360" w:lineRule="auto"/>
        <w:ind w:left="-426" w:hanging="425"/>
        <w:rPr>
          <w:rFonts w:cs="Arial"/>
          <w:color w:val="000000" w:themeColor="text1"/>
          <w:sz w:val="22"/>
          <w:szCs w:val="22"/>
        </w:rPr>
      </w:pPr>
      <w:r w:rsidRPr="008B1CBC">
        <w:rPr>
          <w:rFonts w:cs="Arial"/>
          <w:color w:val="000000" w:themeColor="text1"/>
          <w:sz w:val="22"/>
          <w:szCs w:val="22"/>
        </w:rPr>
        <w:t xml:space="preserve">Local authorities must provide support to carers </w:t>
      </w:r>
      <w:r>
        <w:rPr>
          <w:rFonts w:cs="Arial"/>
          <w:color w:val="000000" w:themeColor="text1"/>
          <w:sz w:val="22"/>
          <w:szCs w:val="22"/>
        </w:rPr>
        <w:t>to prevent,</w:t>
      </w:r>
      <w:r w:rsidRPr="008B1CBC">
        <w:rPr>
          <w:rFonts w:cs="Arial"/>
          <w:color w:val="000000" w:themeColor="text1"/>
          <w:sz w:val="22"/>
          <w:szCs w:val="22"/>
        </w:rPr>
        <w:t xml:space="preserve"> delay</w:t>
      </w:r>
      <w:r>
        <w:rPr>
          <w:rFonts w:cs="Arial"/>
          <w:color w:val="000000" w:themeColor="text1"/>
          <w:sz w:val="22"/>
          <w:szCs w:val="22"/>
        </w:rPr>
        <w:t xml:space="preserve"> and reduce</w:t>
      </w:r>
      <w:r w:rsidRPr="008B1CBC">
        <w:rPr>
          <w:rFonts w:cs="Arial"/>
          <w:color w:val="000000" w:themeColor="text1"/>
          <w:sz w:val="22"/>
          <w:szCs w:val="22"/>
        </w:rPr>
        <w:t xml:space="preserve"> the need for care and support</w:t>
      </w:r>
      <w:r>
        <w:rPr>
          <w:rFonts w:cs="Arial"/>
          <w:color w:val="000000" w:themeColor="text1"/>
          <w:sz w:val="22"/>
          <w:szCs w:val="22"/>
        </w:rPr>
        <w:t>.</w:t>
      </w:r>
    </w:p>
    <w:p w:rsidR="007B6C5C" w:rsidRPr="008B1CBC" w:rsidRDefault="007B6C5C" w:rsidP="007B6C5C">
      <w:pPr>
        <w:pStyle w:val="ListParagraph"/>
        <w:numPr>
          <w:ilvl w:val="0"/>
          <w:numId w:val="13"/>
        </w:numPr>
        <w:spacing w:line="360" w:lineRule="auto"/>
        <w:ind w:left="-426" w:hanging="425"/>
        <w:rPr>
          <w:rFonts w:cs="Arial"/>
          <w:b/>
          <w:color w:val="365F91" w:themeColor="accent1" w:themeShade="BF"/>
          <w:sz w:val="22"/>
          <w:szCs w:val="22"/>
        </w:rPr>
      </w:pPr>
      <w:r w:rsidRPr="008B1CBC">
        <w:rPr>
          <w:rFonts w:cs="Arial"/>
          <w:sz w:val="22"/>
          <w:szCs w:val="22"/>
        </w:rPr>
        <w:t xml:space="preserve">Local authorities must ensure that </w:t>
      </w:r>
      <w:r>
        <w:rPr>
          <w:rFonts w:cs="Arial"/>
          <w:sz w:val="22"/>
          <w:szCs w:val="22"/>
        </w:rPr>
        <w:t xml:space="preserve">a </w:t>
      </w:r>
      <w:r w:rsidRPr="008B1CBC">
        <w:rPr>
          <w:rFonts w:cs="Arial"/>
          <w:sz w:val="22"/>
          <w:szCs w:val="22"/>
        </w:rPr>
        <w:t>carer</w:t>
      </w:r>
      <w:r>
        <w:rPr>
          <w:rFonts w:cs="Arial"/>
          <w:sz w:val="22"/>
          <w:szCs w:val="22"/>
        </w:rPr>
        <w:t>’</w:t>
      </w:r>
      <w:r w:rsidRPr="008B1CBC">
        <w:rPr>
          <w:rFonts w:cs="Arial"/>
          <w:sz w:val="22"/>
          <w:szCs w:val="22"/>
        </w:rPr>
        <w:t xml:space="preserve">s </w:t>
      </w:r>
      <w:r>
        <w:rPr>
          <w:rFonts w:cs="Arial"/>
          <w:sz w:val="22"/>
          <w:szCs w:val="22"/>
        </w:rPr>
        <w:t>“</w:t>
      </w:r>
      <w:r w:rsidRPr="008B1CBC">
        <w:rPr>
          <w:rFonts w:cs="Arial"/>
          <w:sz w:val="22"/>
          <w:szCs w:val="22"/>
        </w:rPr>
        <w:t>eligible needs</w:t>
      </w:r>
      <w:r>
        <w:rPr>
          <w:rFonts w:cs="Arial"/>
          <w:sz w:val="22"/>
          <w:szCs w:val="22"/>
        </w:rPr>
        <w:t>”</w:t>
      </w:r>
      <w:r w:rsidRPr="008B1CBC">
        <w:rPr>
          <w:rFonts w:cs="Arial"/>
          <w:sz w:val="22"/>
          <w:szCs w:val="22"/>
        </w:rPr>
        <w:t xml:space="preserve"> are met.  A carer’s needs are “eligible” if they meet all three of the conditions listed below.  </w:t>
      </w:r>
      <w:r>
        <w:rPr>
          <w:rFonts w:cs="Arial"/>
          <w:sz w:val="22"/>
          <w:szCs w:val="22"/>
        </w:rPr>
        <w:t>These are determined as a result of carrying out a Carer Needs Assessment.</w:t>
      </w:r>
    </w:p>
    <w:p w:rsidR="007B6C5C" w:rsidRPr="008B1CBC" w:rsidRDefault="007B6C5C" w:rsidP="007B6C5C">
      <w:pPr>
        <w:pStyle w:val="ListParagraph"/>
        <w:spacing w:line="360" w:lineRule="auto"/>
        <w:rPr>
          <w:rFonts w:cs="Arial"/>
          <w:sz w:val="22"/>
          <w:szCs w:val="22"/>
        </w:rPr>
      </w:pPr>
    </w:p>
    <w:p w:rsidR="007B6C5C" w:rsidRPr="008B1CBC" w:rsidRDefault="007B6C5C" w:rsidP="007B6C5C">
      <w:pPr>
        <w:pStyle w:val="ListParagraph"/>
        <w:numPr>
          <w:ilvl w:val="1"/>
          <w:numId w:val="13"/>
        </w:numPr>
        <w:spacing w:line="360" w:lineRule="auto"/>
        <w:ind w:left="567" w:hanging="283"/>
        <w:rPr>
          <w:rFonts w:cs="Arial"/>
          <w:sz w:val="22"/>
          <w:szCs w:val="22"/>
        </w:rPr>
      </w:pPr>
      <w:r w:rsidRPr="008B1CBC">
        <w:rPr>
          <w:rFonts w:cs="Arial"/>
          <w:sz w:val="22"/>
          <w:szCs w:val="22"/>
        </w:rPr>
        <w:t>The needs arise as a consequence of providing necessary care for an adult</w:t>
      </w:r>
    </w:p>
    <w:p w:rsidR="007B6C5C" w:rsidRPr="008B1CBC" w:rsidRDefault="007B6C5C" w:rsidP="007B6C5C">
      <w:pPr>
        <w:pStyle w:val="ListParagraph"/>
        <w:spacing w:line="360" w:lineRule="auto"/>
        <w:ind w:left="567"/>
        <w:rPr>
          <w:rFonts w:cs="Arial"/>
          <w:sz w:val="22"/>
          <w:szCs w:val="22"/>
        </w:rPr>
      </w:pPr>
    </w:p>
    <w:p w:rsidR="007B6C5C" w:rsidRPr="008B1CBC" w:rsidRDefault="007B6C5C" w:rsidP="007B6C5C">
      <w:pPr>
        <w:pStyle w:val="ListParagraph"/>
        <w:numPr>
          <w:ilvl w:val="1"/>
          <w:numId w:val="13"/>
        </w:numPr>
        <w:autoSpaceDE w:val="0"/>
        <w:autoSpaceDN w:val="0"/>
        <w:adjustRightInd w:val="0"/>
        <w:spacing w:line="360" w:lineRule="auto"/>
        <w:ind w:left="567" w:hanging="283"/>
        <w:rPr>
          <w:rFonts w:cs="Arial"/>
          <w:color w:val="000000"/>
          <w:sz w:val="22"/>
          <w:szCs w:val="22"/>
        </w:rPr>
      </w:pPr>
      <w:r w:rsidRPr="008B1CBC">
        <w:rPr>
          <w:rFonts w:cs="Arial"/>
          <w:sz w:val="22"/>
          <w:szCs w:val="22"/>
        </w:rPr>
        <w:t xml:space="preserve">The effect </w:t>
      </w:r>
      <w:r w:rsidRPr="008B1CBC">
        <w:rPr>
          <w:rFonts w:cs="Arial"/>
          <w:color w:val="000000"/>
          <w:sz w:val="22"/>
          <w:szCs w:val="22"/>
        </w:rPr>
        <w:t>of the carer’s needs is that any of the circumstances specified in the Eligibility Regulations apply to the carer.  To be eligible, a carer must be unable to achieve any of the following outcomes:</w:t>
      </w:r>
    </w:p>
    <w:p w:rsidR="007B6C5C" w:rsidRPr="008B1CBC" w:rsidRDefault="007B6C5C" w:rsidP="007B6C5C">
      <w:pPr>
        <w:pStyle w:val="ListParagraph"/>
        <w:numPr>
          <w:ilvl w:val="0"/>
          <w:numId w:val="14"/>
        </w:numPr>
        <w:spacing w:line="360" w:lineRule="auto"/>
        <w:ind w:left="851" w:hanging="284"/>
        <w:rPr>
          <w:rFonts w:cs="Arial"/>
          <w:b/>
          <w:bCs/>
          <w:iCs/>
          <w:sz w:val="22"/>
          <w:szCs w:val="22"/>
        </w:rPr>
      </w:pPr>
      <w:r w:rsidRPr="008B1CBC">
        <w:rPr>
          <w:rFonts w:cs="Arial"/>
          <w:bCs/>
          <w:iCs/>
          <w:sz w:val="22"/>
          <w:szCs w:val="22"/>
        </w:rPr>
        <w:t>Carrying out any caring responsibilities for a child</w:t>
      </w:r>
    </w:p>
    <w:p w:rsidR="007B6C5C" w:rsidRPr="008B1CBC" w:rsidRDefault="007B6C5C" w:rsidP="007B6C5C">
      <w:pPr>
        <w:pStyle w:val="ListParagraph"/>
        <w:numPr>
          <w:ilvl w:val="0"/>
          <w:numId w:val="14"/>
        </w:numPr>
        <w:spacing w:line="360" w:lineRule="auto"/>
        <w:ind w:left="851" w:hanging="284"/>
        <w:rPr>
          <w:rFonts w:cs="Arial"/>
          <w:b/>
          <w:bCs/>
          <w:iCs/>
          <w:sz w:val="22"/>
          <w:szCs w:val="22"/>
        </w:rPr>
      </w:pPr>
      <w:r w:rsidRPr="008B1CBC">
        <w:rPr>
          <w:rFonts w:cs="Arial"/>
          <w:bCs/>
          <w:iCs/>
          <w:sz w:val="22"/>
          <w:szCs w:val="22"/>
        </w:rPr>
        <w:t>Providing care to other persons</w:t>
      </w:r>
    </w:p>
    <w:p w:rsidR="007B6C5C" w:rsidRPr="008B1CBC" w:rsidRDefault="007B6C5C" w:rsidP="007B6C5C">
      <w:pPr>
        <w:pStyle w:val="ListParagraph"/>
        <w:numPr>
          <w:ilvl w:val="0"/>
          <w:numId w:val="14"/>
        </w:numPr>
        <w:spacing w:line="360" w:lineRule="auto"/>
        <w:ind w:left="851" w:hanging="284"/>
        <w:rPr>
          <w:rFonts w:cs="Arial"/>
          <w:b/>
          <w:bCs/>
          <w:iCs/>
          <w:sz w:val="22"/>
          <w:szCs w:val="22"/>
        </w:rPr>
      </w:pPr>
      <w:r w:rsidRPr="008B1CBC">
        <w:rPr>
          <w:rFonts w:cs="Arial"/>
          <w:bCs/>
          <w:iCs/>
          <w:sz w:val="22"/>
          <w:szCs w:val="22"/>
        </w:rPr>
        <w:t>Maintaining a habitable home</w:t>
      </w:r>
    </w:p>
    <w:p w:rsidR="007B6C5C" w:rsidRPr="008B1CBC" w:rsidRDefault="007B6C5C" w:rsidP="007B6C5C">
      <w:pPr>
        <w:pStyle w:val="ListParagraph"/>
        <w:numPr>
          <w:ilvl w:val="0"/>
          <w:numId w:val="14"/>
        </w:numPr>
        <w:spacing w:line="360" w:lineRule="auto"/>
        <w:ind w:left="851" w:hanging="284"/>
        <w:rPr>
          <w:rFonts w:cs="Arial"/>
          <w:b/>
          <w:bCs/>
          <w:iCs/>
          <w:sz w:val="22"/>
          <w:szCs w:val="22"/>
        </w:rPr>
      </w:pPr>
      <w:r w:rsidRPr="008B1CBC">
        <w:rPr>
          <w:rFonts w:cs="Arial"/>
          <w:bCs/>
          <w:iCs/>
          <w:sz w:val="22"/>
          <w:szCs w:val="22"/>
        </w:rPr>
        <w:t>Managing and maintaining nutrition</w:t>
      </w:r>
    </w:p>
    <w:p w:rsidR="007B6C5C" w:rsidRPr="008B1CBC" w:rsidRDefault="007B6C5C" w:rsidP="007B6C5C">
      <w:pPr>
        <w:pStyle w:val="ListParagraph"/>
        <w:numPr>
          <w:ilvl w:val="0"/>
          <w:numId w:val="14"/>
        </w:numPr>
        <w:spacing w:line="360" w:lineRule="auto"/>
        <w:ind w:left="851" w:hanging="284"/>
        <w:rPr>
          <w:rFonts w:cs="Arial"/>
          <w:b/>
          <w:bCs/>
          <w:iCs/>
          <w:sz w:val="22"/>
          <w:szCs w:val="22"/>
        </w:rPr>
      </w:pPr>
      <w:r w:rsidRPr="008B1CBC">
        <w:rPr>
          <w:rFonts w:cs="Arial"/>
          <w:bCs/>
          <w:iCs/>
          <w:sz w:val="22"/>
          <w:szCs w:val="22"/>
        </w:rPr>
        <w:t>Developing and maintaining family / other relationships</w:t>
      </w:r>
    </w:p>
    <w:p w:rsidR="007B6C5C" w:rsidRPr="008B1CBC" w:rsidRDefault="007B6C5C" w:rsidP="007B6C5C">
      <w:pPr>
        <w:pStyle w:val="ListParagraph"/>
        <w:numPr>
          <w:ilvl w:val="0"/>
          <w:numId w:val="14"/>
        </w:numPr>
        <w:spacing w:line="360" w:lineRule="auto"/>
        <w:ind w:left="851" w:hanging="284"/>
        <w:rPr>
          <w:rFonts w:cs="Arial"/>
          <w:b/>
          <w:bCs/>
          <w:iCs/>
          <w:sz w:val="22"/>
          <w:szCs w:val="22"/>
        </w:rPr>
      </w:pPr>
      <w:r w:rsidRPr="008B1CBC">
        <w:rPr>
          <w:rFonts w:cs="Arial"/>
          <w:bCs/>
          <w:iCs/>
          <w:sz w:val="22"/>
          <w:szCs w:val="22"/>
        </w:rPr>
        <w:lastRenderedPageBreak/>
        <w:t>Engaging in work, training, education or volunteering</w:t>
      </w:r>
    </w:p>
    <w:p w:rsidR="007B6C5C" w:rsidRPr="008B1CBC" w:rsidRDefault="007B6C5C" w:rsidP="007B6C5C">
      <w:pPr>
        <w:pStyle w:val="ListParagraph"/>
        <w:numPr>
          <w:ilvl w:val="0"/>
          <w:numId w:val="14"/>
        </w:numPr>
        <w:spacing w:line="360" w:lineRule="auto"/>
        <w:ind w:left="851" w:hanging="284"/>
        <w:rPr>
          <w:rFonts w:cs="Arial"/>
          <w:b/>
          <w:bCs/>
          <w:iCs/>
          <w:sz w:val="22"/>
          <w:szCs w:val="22"/>
        </w:rPr>
      </w:pPr>
      <w:r w:rsidRPr="008B1CBC">
        <w:rPr>
          <w:rFonts w:cs="Arial"/>
          <w:bCs/>
          <w:iCs/>
          <w:sz w:val="22"/>
          <w:szCs w:val="22"/>
        </w:rPr>
        <w:t>Making use of necessary facilities in the local community</w:t>
      </w:r>
    </w:p>
    <w:p w:rsidR="007B6C5C" w:rsidRPr="008B1CBC" w:rsidRDefault="007B6C5C" w:rsidP="007B6C5C">
      <w:pPr>
        <w:pStyle w:val="ListParagraph"/>
        <w:numPr>
          <w:ilvl w:val="0"/>
          <w:numId w:val="14"/>
        </w:numPr>
        <w:spacing w:line="360" w:lineRule="auto"/>
        <w:ind w:left="851" w:hanging="284"/>
        <w:rPr>
          <w:rFonts w:cs="Arial"/>
          <w:b/>
          <w:bCs/>
          <w:iCs/>
          <w:sz w:val="22"/>
          <w:szCs w:val="22"/>
        </w:rPr>
      </w:pPr>
      <w:r w:rsidRPr="008B1CBC">
        <w:rPr>
          <w:rFonts w:cs="Arial"/>
          <w:bCs/>
          <w:iCs/>
          <w:sz w:val="22"/>
          <w:szCs w:val="22"/>
        </w:rPr>
        <w:t>Engaging in recreational activities</w:t>
      </w:r>
    </w:p>
    <w:p w:rsidR="007B6C5C" w:rsidRPr="008B1CBC" w:rsidRDefault="007B6C5C" w:rsidP="007B6C5C">
      <w:pPr>
        <w:pStyle w:val="ListParagraph"/>
        <w:autoSpaceDE w:val="0"/>
        <w:autoSpaceDN w:val="0"/>
        <w:adjustRightInd w:val="0"/>
        <w:spacing w:line="360" w:lineRule="auto"/>
        <w:ind w:left="1440"/>
        <w:rPr>
          <w:rFonts w:cs="Arial"/>
          <w:color w:val="000000"/>
          <w:sz w:val="22"/>
          <w:szCs w:val="22"/>
        </w:rPr>
      </w:pPr>
    </w:p>
    <w:p w:rsidR="007B6C5C" w:rsidRPr="008B1CBC" w:rsidRDefault="007B6C5C" w:rsidP="007B6C5C">
      <w:pPr>
        <w:pStyle w:val="ListParagraph"/>
        <w:numPr>
          <w:ilvl w:val="1"/>
          <w:numId w:val="13"/>
        </w:numPr>
        <w:autoSpaceDE w:val="0"/>
        <w:autoSpaceDN w:val="0"/>
        <w:adjustRightInd w:val="0"/>
        <w:spacing w:line="360" w:lineRule="auto"/>
        <w:ind w:left="567" w:hanging="425"/>
        <w:rPr>
          <w:rFonts w:cs="Arial"/>
          <w:color w:val="000000"/>
          <w:sz w:val="22"/>
          <w:szCs w:val="22"/>
        </w:rPr>
      </w:pPr>
      <w:r w:rsidRPr="008B1CBC">
        <w:rPr>
          <w:rFonts w:cs="Arial"/>
          <w:color w:val="000000"/>
          <w:sz w:val="22"/>
          <w:szCs w:val="22"/>
        </w:rPr>
        <w:t>As a consequence of that fact there is, or there is likely to be, a significant impact on the carer’s wellbeing.</w:t>
      </w:r>
    </w:p>
    <w:p w:rsidR="007B6C5C" w:rsidRDefault="007B6C5C" w:rsidP="007B6C5C">
      <w:pPr>
        <w:spacing w:line="360" w:lineRule="auto"/>
        <w:rPr>
          <w:rFonts w:cs="Arial"/>
          <w:color w:val="D4000F"/>
        </w:rPr>
      </w:pPr>
    </w:p>
    <w:p w:rsidR="007B6C5C" w:rsidRPr="008B1CBC" w:rsidRDefault="007B6C5C" w:rsidP="007B6C5C">
      <w:pPr>
        <w:pStyle w:val="ListParagraph"/>
        <w:numPr>
          <w:ilvl w:val="0"/>
          <w:numId w:val="13"/>
        </w:numPr>
        <w:spacing w:line="360" w:lineRule="auto"/>
        <w:ind w:left="-426" w:hanging="425"/>
        <w:rPr>
          <w:rFonts w:cs="Arial"/>
          <w:color w:val="000000" w:themeColor="text1"/>
          <w:sz w:val="22"/>
          <w:szCs w:val="22"/>
        </w:rPr>
      </w:pPr>
      <w:r w:rsidRPr="008B1CBC">
        <w:rPr>
          <w:rFonts w:cs="Arial"/>
          <w:color w:val="000000" w:themeColor="text1"/>
          <w:sz w:val="22"/>
          <w:szCs w:val="22"/>
        </w:rPr>
        <w:t>Carers must be given a copy of their Carers Needs Assessment and a copy of the decision that has been made on their eligibility for support.</w:t>
      </w:r>
    </w:p>
    <w:p w:rsidR="007B6C5C" w:rsidRDefault="007B6C5C" w:rsidP="007B6C5C">
      <w:pPr>
        <w:pStyle w:val="ListParagraph"/>
        <w:numPr>
          <w:ilvl w:val="0"/>
          <w:numId w:val="13"/>
        </w:numPr>
        <w:spacing w:line="360" w:lineRule="auto"/>
        <w:ind w:left="-426" w:hanging="425"/>
        <w:rPr>
          <w:rFonts w:cs="Arial"/>
          <w:color w:val="000000" w:themeColor="text1"/>
          <w:sz w:val="22"/>
          <w:szCs w:val="22"/>
        </w:rPr>
      </w:pPr>
      <w:r w:rsidRPr="00F767F4">
        <w:rPr>
          <w:rFonts w:cs="Arial"/>
          <w:color w:val="000000" w:themeColor="text1"/>
          <w:sz w:val="22"/>
          <w:szCs w:val="22"/>
        </w:rPr>
        <w:t>Any support that th</w:t>
      </w:r>
      <w:r>
        <w:rPr>
          <w:rFonts w:cs="Arial"/>
          <w:color w:val="000000" w:themeColor="text1"/>
          <w:sz w:val="22"/>
          <w:szCs w:val="22"/>
        </w:rPr>
        <w:t>e local authority is putting in place must be set out in a Support Plan which is reviewed regularly.</w:t>
      </w:r>
    </w:p>
    <w:p w:rsidR="007B6C5C" w:rsidRDefault="007B6C5C" w:rsidP="007B6C5C">
      <w:pPr>
        <w:pStyle w:val="ListParagraph"/>
        <w:numPr>
          <w:ilvl w:val="0"/>
          <w:numId w:val="13"/>
        </w:numPr>
        <w:spacing w:line="360" w:lineRule="auto"/>
        <w:ind w:left="-426" w:hanging="425"/>
        <w:rPr>
          <w:rFonts w:cs="Arial"/>
          <w:color w:val="000000" w:themeColor="text1"/>
          <w:sz w:val="22"/>
          <w:szCs w:val="22"/>
        </w:rPr>
      </w:pPr>
      <w:r>
        <w:rPr>
          <w:rFonts w:cs="Arial"/>
          <w:color w:val="000000" w:themeColor="text1"/>
          <w:sz w:val="22"/>
          <w:szCs w:val="22"/>
        </w:rPr>
        <w:t xml:space="preserve">The local authority has discretion over whether to charge people for support, although there are some exceptions to this that are listed </w:t>
      </w:r>
      <w:hyperlink r:id="rId7" w:anchor="charging-and-financial-assessment" w:history="1">
        <w:r w:rsidRPr="00F767F4">
          <w:rPr>
            <w:rStyle w:val="Hyperlink"/>
            <w:rFonts w:cs="Arial"/>
            <w:color w:val="365F91" w:themeColor="accent1" w:themeShade="BF"/>
            <w:sz w:val="22"/>
            <w:szCs w:val="22"/>
          </w:rPr>
          <w:t>here</w:t>
        </w:r>
      </w:hyperlink>
      <w:r>
        <w:rPr>
          <w:rFonts w:cs="Arial"/>
          <w:color w:val="000000" w:themeColor="text1"/>
          <w:sz w:val="22"/>
          <w:szCs w:val="22"/>
        </w:rPr>
        <w:t>.  Where the local authority decides to charge for respite or replacement care, it must be the direct recipient of the service (i.e. the service user) who is charged, rather than the carer.</w:t>
      </w:r>
    </w:p>
    <w:p w:rsidR="007B6C5C" w:rsidRDefault="007B6C5C" w:rsidP="007B6C5C">
      <w:pPr>
        <w:pStyle w:val="ListParagraph"/>
        <w:numPr>
          <w:ilvl w:val="0"/>
          <w:numId w:val="13"/>
        </w:numPr>
        <w:spacing w:line="360" w:lineRule="auto"/>
        <w:ind w:left="-426" w:hanging="425"/>
        <w:rPr>
          <w:rFonts w:cs="Arial"/>
          <w:color w:val="000000" w:themeColor="text1"/>
          <w:sz w:val="22"/>
          <w:szCs w:val="22"/>
        </w:rPr>
      </w:pPr>
      <w:r>
        <w:rPr>
          <w:rFonts w:cs="Arial"/>
          <w:color w:val="000000" w:themeColor="text1"/>
          <w:sz w:val="22"/>
          <w:szCs w:val="22"/>
        </w:rPr>
        <w:t xml:space="preserve">The Care Act sets out the option for carers to take a direct payment from the local authority to purchase their own support, rather than local authorities providing support directly.  A local authority must make direct payments if doing so meets the </w:t>
      </w:r>
      <w:hyperlink r:id="rId8" w:anchor="Chapter12" w:history="1">
        <w:r w:rsidRPr="007F6D27">
          <w:rPr>
            <w:rStyle w:val="Hyperlink"/>
            <w:rFonts w:cs="Arial"/>
            <w:color w:val="365F91" w:themeColor="accent1" w:themeShade="BF"/>
            <w:sz w:val="22"/>
            <w:szCs w:val="22"/>
          </w:rPr>
          <w:t>conditions and regulations</w:t>
        </w:r>
      </w:hyperlink>
      <w:r>
        <w:rPr>
          <w:rFonts w:cs="Arial"/>
          <w:color w:val="000000" w:themeColor="text1"/>
          <w:sz w:val="22"/>
          <w:szCs w:val="22"/>
        </w:rPr>
        <w:t xml:space="preserve"> set out in the Care Act.</w:t>
      </w:r>
    </w:p>
    <w:p w:rsidR="007B6C5C" w:rsidRDefault="007B6C5C" w:rsidP="007B6C5C">
      <w:pPr>
        <w:pStyle w:val="ListParagraph"/>
        <w:spacing w:line="360" w:lineRule="auto"/>
        <w:ind w:left="-426"/>
        <w:rPr>
          <w:rFonts w:cs="Arial"/>
          <w:color w:val="000000" w:themeColor="text1"/>
          <w:sz w:val="22"/>
          <w:szCs w:val="22"/>
        </w:rPr>
      </w:pPr>
    </w:p>
    <w:p w:rsidR="007B6C5C" w:rsidRPr="007F6D27" w:rsidRDefault="007B6C5C" w:rsidP="007B6C5C">
      <w:pPr>
        <w:pStyle w:val="ListParagraph"/>
        <w:spacing w:line="360" w:lineRule="auto"/>
        <w:ind w:left="-426"/>
        <w:rPr>
          <w:rFonts w:cs="Arial"/>
          <w:color w:val="000000" w:themeColor="text1"/>
          <w:sz w:val="22"/>
          <w:szCs w:val="22"/>
        </w:rPr>
      </w:pPr>
      <w:r>
        <w:rPr>
          <w:rFonts w:cs="Arial"/>
          <w:color w:val="000000" w:themeColor="text1"/>
          <w:sz w:val="22"/>
          <w:szCs w:val="22"/>
        </w:rPr>
        <w:t xml:space="preserve">The statutory guidance that accompanies the Care Act and contains more details in relation to carers can be found </w:t>
      </w:r>
      <w:hyperlink r:id="rId9" w:anchor="safeguarding-1" w:history="1">
        <w:r w:rsidRPr="007F6D27">
          <w:rPr>
            <w:rStyle w:val="Hyperlink"/>
            <w:rFonts w:cs="Arial"/>
            <w:color w:val="365F91" w:themeColor="accent1" w:themeShade="BF"/>
            <w:sz w:val="22"/>
            <w:szCs w:val="22"/>
          </w:rPr>
          <w:t>here</w:t>
        </w:r>
      </w:hyperlink>
      <w:r w:rsidRPr="007F6D27">
        <w:rPr>
          <w:rFonts w:cs="Arial"/>
          <w:color w:val="365F91" w:themeColor="accent1" w:themeShade="BF"/>
          <w:sz w:val="22"/>
          <w:szCs w:val="22"/>
        </w:rPr>
        <w:t xml:space="preserve">. </w:t>
      </w:r>
    </w:p>
    <w:p w:rsidR="007B6C5C" w:rsidRDefault="007B6C5C" w:rsidP="00B27AB9">
      <w:pPr>
        <w:spacing w:line="360" w:lineRule="auto"/>
        <w:jc w:val="center"/>
        <w:rPr>
          <w:b/>
          <w:color w:val="4F81BD" w:themeColor="accent1"/>
          <w:sz w:val="32"/>
          <w:szCs w:val="32"/>
        </w:rPr>
      </w:pPr>
    </w:p>
    <w:sectPr w:rsidR="007B6C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53D0"/>
    <w:multiLevelType w:val="hybridMultilevel"/>
    <w:tmpl w:val="1A26A67C"/>
    <w:lvl w:ilvl="0" w:tplc="08090001">
      <w:start w:val="1"/>
      <w:numFmt w:val="bullet"/>
      <w:lvlText w:val=""/>
      <w:lvlJc w:val="left"/>
      <w:pPr>
        <w:ind w:left="720" w:hanging="360"/>
      </w:pPr>
      <w:rPr>
        <w:rFonts w:ascii="Symbol" w:hAnsi="Symbol" w:hint="default"/>
      </w:rPr>
    </w:lvl>
    <w:lvl w:ilvl="1" w:tplc="BD807D24">
      <w:start w:val="5"/>
      <w:numFmt w:val="bullet"/>
      <w:lvlText w:val="-"/>
      <w:lvlJc w:val="left"/>
      <w:pPr>
        <w:ind w:left="1440" w:hanging="360"/>
      </w:pPr>
      <w:rPr>
        <w:rFonts w:ascii="Arial" w:eastAsia="Times New Roman" w:hAnsi="Arial" w:cs="Times New Roman"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93A5E"/>
    <w:multiLevelType w:val="hybridMultilevel"/>
    <w:tmpl w:val="8390B4F8"/>
    <w:lvl w:ilvl="0" w:tplc="1AC2D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F47E48"/>
    <w:multiLevelType w:val="hybridMultilevel"/>
    <w:tmpl w:val="EC0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D24E6"/>
    <w:multiLevelType w:val="hybridMultilevel"/>
    <w:tmpl w:val="833ABE62"/>
    <w:lvl w:ilvl="0" w:tplc="6944AEEA">
      <w:start w:val="1"/>
      <w:numFmt w:val="bullet"/>
      <w:lvlText w:val="•"/>
      <w:lvlJc w:val="left"/>
      <w:pPr>
        <w:tabs>
          <w:tab w:val="num" w:pos="726"/>
        </w:tabs>
        <w:ind w:left="726" w:hanging="360"/>
      </w:pPr>
      <w:rPr>
        <w:rFonts w:ascii="Times New Roman" w:hAnsi="Times New Roman" w:hint="default"/>
      </w:rPr>
    </w:lvl>
    <w:lvl w:ilvl="1" w:tplc="E6B06FF8" w:tentative="1">
      <w:start w:val="1"/>
      <w:numFmt w:val="bullet"/>
      <w:lvlText w:val="•"/>
      <w:lvlJc w:val="left"/>
      <w:pPr>
        <w:tabs>
          <w:tab w:val="num" w:pos="1446"/>
        </w:tabs>
        <w:ind w:left="1446" w:hanging="360"/>
      </w:pPr>
      <w:rPr>
        <w:rFonts w:ascii="Times New Roman" w:hAnsi="Times New Roman" w:hint="default"/>
      </w:rPr>
    </w:lvl>
    <w:lvl w:ilvl="2" w:tplc="173CB83C" w:tentative="1">
      <w:start w:val="1"/>
      <w:numFmt w:val="bullet"/>
      <w:lvlText w:val="•"/>
      <w:lvlJc w:val="left"/>
      <w:pPr>
        <w:tabs>
          <w:tab w:val="num" w:pos="2166"/>
        </w:tabs>
        <w:ind w:left="2166" w:hanging="360"/>
      </w:pPr>
      <w:rPr>
        <w:rFonts w:ascii="Times New Roman" w:hAnsi="Times New Roman" w:hint="default"/>
      </w:rPr>
    </w:lvl>
    <w:lvl w:ilvl="3" w:tplc="83CC895C" w:tentative="1">
      <w:start w:val="1"/>
      <w:numFmt w:val="bullet"/>
      <w:lvlText w:val="•"/>
      <w:lvlJc w:val="left"/>
      <w:pPr>
        <w:tabs>
          <w:tab w:val="num" w:pos="2886"/>
        </w:tabs>
        <w:ind w:left="2886" w:hanging="360"/>
      </w:pPr>
      <w:rPr>
        <w:rFonts w:ascii="Times New Roman" w:hAnsi="Times New Roman" w:hint="default"/>
      </w:rPr>
    </w:lvl>
    <w:lvl w:ilvl="4" w:tplc="0304ED40" w:tentative="1">
      <w:start w:val="1"/>
      <w:numFmt w:val="bullet"/>
      <w:lvlText w:val="•"/>
      <w:lvlJc w:val="left"/>
      <w:pPr>
        <w:tabs>
          <w:tab w:val="num" w:pos="3606"/>
        </w:tabs>
        <w:ind w:left="3606" w:hanging="360"/>
      </w:pPr>
      <w:rPr>
        <w:rFonts w:ascii="Times New Roman" w:hAnsi="Times New Roman" w:hint="default"/>
      </w:rPr>
    </w:lvl>
    <w:lvl w:ilvl="5" w:tplc="3132D7A8" w:tentative="1">
      <w:start w:val="1"/>
      <w:numFmt w:val="bullet"/>
      <w:lvlText w:val="•"/>
      <w:lvlJc w:val="left"/>
      <w:pPr>
        <w:tabs>
          <w:tab w:val="num" w:pos="4326"/>
        </w:tabs>
        <w:ind w:left="4326" w:hanging="360"/>
      </w:pPr>
      <w:rPr>
        <w:rFonts w:ascii="Times New Roman" w:hAnsi="Times New Roman" w:hint="default"/>
      </w:rPr>
    </w:lvl>
    <w:lvl w:ilvl="6" w:tplc="D89450A0" w:tentative="1">
      <w:start w:val="1"/>
      <w:numFmt w:val="bullet"/>
      <w:lvlText w:val="•"/>
      <w:lvlJc w:val="left"/>
      <w:pPr>
        <w:tabs>
          <w:tab w:val="num" w:pos="5046"/>
        </w:tabs>
        <w:ind w:left="5046" w:hanging="360"/>
      </w:pPr>
      <w:rPr>
        <w:rFonts w:ascii="Times New Roman" w:hAnsi="Times New Roman" w:hint="default"/>
      </w:rPr>
    </w:lvl>
    <w:lvl w:ilvl="7" w:tplc="7ACC6A6A" w:tentative="1">
      <w:start w:val="1"/>
      <w:numFmt w:val="bullet"/>
      <w:lvlText w:val="•"/>
      <w:lvlJc w:val="left"/>
      <w:pPr>
        <w:tabs>
          <w:tab w:val="num" w:pos="5766"/>
        </w:tabs>
        <w:ind w:left="5766" w:hanging="360"/>
      </w:pPr>
      <w:rPr>
        <w:rFonts w:ascii="Times New Roman" w:hAnsi="Times New Roman" w:hint="default"/>
      </w:rPr>
    </w:lvl>
    <w:lvl w:ilvl="8" w:tplc="FC2A6B5C" w:tentative="1">
      <w:start w:val="1"/>
      <w:numFmt w:val="bullet"/>
      <w:lvlText w:val="•"/>
      <w:lvlJc w:val="left"/>
      <w:pPr>
        <w:tabs>
          <w:tab w:val="num" w:pos="6486"/>
        </w:tabs>
        <w:ind w:left="6486" w:hanging="360"/>
      </w:pPr>
      <w:rPr>
        <w:rFonts w:ascii="Times New Roman" w:hAnsi="Times New Roman" w:hint="default"/>
      </w:rPr>
    </w:lvl>
  </w:abstractNum>
  <w:abstractNum w:abstractNumId="4">
    <w:nsid w:val="3C8C0334"/>
    <w:multiLevelType w:val="hybridMultilevel"/>
    <w:tmpl w:val="5AC4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251A9E"/>
    <w:multiLevelType w:val="hybridMultilevel"/>
    <w:tmpl w:val="8894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C6BE6"/>
    <w:multiLevelType w:val="hybridMultilevel"/>
    <w:tmpl w:val="412C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09068E"/>
    <w:multiLevelType w:val="hybridMultilevel"/>
    <w:tmpl w:val="5296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95E5D"/>
    <w:multiLevelType w:val="hybridMultilevel"/>
    <w:tmpl w:val="D1C6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3C4F74"/>
    <w:multiLevelType w:val="hybridMultilevel"/>
    <w:tmpl w:val="B9E2949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240793"/>
    <w:multiLevelType w:val="hybridMultilevel"/>
    <w:tmpl w:val="9B441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3F6F62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AC3331"/>
    <w:multiLevelType w:val="hybridMultilevel"/>
    <w:tmpl w:val="15A0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E7577A"/>
    <w:multiLevelType w:val="hybridMultilevel"/>
    <w:tmpl w:val="11C29098"/>
    <w:lvl w:ilvl="0" w:tplc="B9DCCD8E">
      <w:numFmt w:val="bullet"/>
      <w:lvlText w:val="-"/>
      <w:lvlJc w:val="left"/>
      <w:pPr>
        <w:ind w:left="720" w:hanging="360"/>
      </w:pPr>
      <w:rPr>
        <w:rFonts w:ascii="Arial" w:eastAsia="Times New Roman" w:hAnsi="Arial" w:cs="Aria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44544E"/>
    <w:multiLevelType w:val="hybridMultilevel"/>
    <w:tmpl w:val="FDB4A4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10"/>
  </w:num>
  <w:num w:numId="6">
    <w:abstractNumId w:val="5"/>
  </w:num>
  <w:num w:numId="7">
    <w:abstractNumId w:val="3"/>
  </w:num>
  <w:num w:numId="8">
    <w:abstractNumId w:val="0"/>
  </w:num>
  <w:num w:numId="9">
    <w:abstractNumId w:val="7"/>
  </w:num>
  <w:num w:numId="10">
    <w:abstractNumId w:val="11"/>
  </w:num>
  <w:num w:numId="11">
    <w:abstractNumId w:val="13"/>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B9"/>
    <w:rsid w:val="00140DE9"/>
    <w:rsid w:val="002329F5"/>
    <w:rsid w:val="0066510C"/>
    <w:rsid w:val="007B6C5C"/>
    <w:rsid w:val="0081228D"/>
    <w:rsid w:val="00820757"/>
    <w:rsid w:val="008C1A32"/>
    <w:rsid w:val="00AE0A81"/>
    <w:rsid w:val="00AE4AEC"/>
    <w:rsid w:val="00B27AB9"/>
    <w:rsid w:val="00C67BFB"/>
    <w:rsid w:val="00C71F22"/>
    <w:rsid w:val="00F32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A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AB9"/>
    <w:rPr>
      <w:color w:val="0000FF"/>
      <w:u w:val="single"/>
    </w:rPr>
  </w:style>
  <w:style w:type="paragraph" w:styleId="ListParagraph">
    <w:name w:val="List Paragraph"/>
    <w:basedOn w:val="Normal"/>
    <w:uiPriority w:val="34"/>
    <w:qFormat/>
    <w:rsid w:val="00B27AB9"/>
    <w:pPr>
      <w:ind w:left="720"/>
      <w:contextualSpacing/>
    </w:pPr>
  </w:style>
  <w:style w:type="character" w:styleId="Emphasis">
    <w:name w:val="Emphasis"/>
    <w:uiPriority w:val="20"/>
    <w:qFormat/>
    <w:rsid w:val="00B27AB9"/>
    <w:rPr>
      <w:i/>
      <w:iCs/>
    </w:rPr>
  </w:style>
  <w:style w:type="paragraph" w:customStyle="1" w:styleId="Default">
    <w:name w:val="Default"/>
    <w:rsid w:val="00B27AB9"/>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rsid w:val="008C1A32"/>
    <w:rPr>
      <w:color w:val="800080" w:themeColor="followedHyperlink"/>
      <w:u w:val="single"/>
    </w:rPr>
  </w:style>
  <w:style w:type="table" w:styleId="TableGrid">
    <w:name w:val="Table Grid"/>
    <w:basedOn w:val="TableNormal"/>
    <w:rsid w:val="0023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228D"/>
    <w:rPr>
      <w:rFonts w:ascii="Tahoma" w:hAnsi="Tahoma" w:cs="Tahoma"/>
      <w:sz w:val="16"/>
      <w:szCs w:val="16"/>
    </w:rPr>
  </w:style>
  <w:style w:type="character" w:customStyle="1" w:styleId="BalloonTextChar">
    <w:name w:val="Balloon Text Char"/>
    <w:basedOn w:val="DefaultParagraphFont"/>
    <w:link w:val="BalloonText"/>
    <w:rsid w:val="0081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e-act-statutory-guidance/care-and-support-statutory-guidance" TargetMode="External"/><Relationship Id="rId3" Type="http://schemas.microsoft.com/office/2007/relationships/stylesWithEffects" Target="stylesWithEffects.xml"/><Relationship Id="rId7" Type="http://schemas.openxmlformats.org/officeDocument/2006/relationships/hyperlink" Target="https://www.gov.uk/government/publications/care-act-statutory-guidance/care-and-support-statutory-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are-act-statutory-guidance/care-and-support-statuto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2281</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Starkie</dc:creator>
  <cp:keywords/>
  <dc:description/>
  <cp:lastModifiedBy>Joanne Starkie</cp:lastModifiedBy>
  <cp:revision>2</cp:revision>
  <dcterms:created xsi:type="dcterms:W3CDTF">2018-05-04T12:31:00Z</dcterms:created>
  <dcterms:modified xsi:type="dcterms:W3CDTF">2018-05-04T12:31:00Z</dcterms:modified>
</cp:coreProperties>
</file>