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28D" w:rsidRDefault="0081228D" w:rsidP="00B27AB9">
      <w:pPr>
        <w:spacing w:line="360" w:lineRule="auto"/>
        <w:jc w:val="center"/>
        <w:rPr>
          <w:b/>
          <w:color w:val="4F81BD" w:themeColor="accent1"/>
          <w:sz w:val="32"/>
          <w:szCs w:val="32"/>
        </w:rPr>
      </w:pPr>
      <w:r>
        <w:rPr>
          <w:b/>
          <w:noProof/>
          <w:color w:val="4F81BD" w:themeColor="accent1"/>
          <w:sz w:val="32"/>
          <w:szCs w:val="32"/>
        </w:rPr>
        <w:drawing>
          <wp:anchor distT="0" distB="0" distL="114300" distR="114300" simplePos="0" relativeHeight="251670528" behindDoc="0" locked="0" layoutInCell="1" allowOverlap="1" wp14:anchorId="6DE143EC" wp14:editId="75F7B5E8">
            <wp:simplePos x="0" y="0"/>
            <wp:positionH relativeFrom="column">
              <wp:posOffset>-1081406</wp:posOffset>
            </wp:positionH>
            <wp:positionV relativeFrom="paragraph">
              <wp:posOffset>-914400</wp:posOffset>
            </wp:positionV>
            <wp:extent cx="7482205" cy="2281775"/>
            <wp:effectExtent l="0" t="0" r="10795" b="4445"/>
            <wp:wrapNone/>
            <wp:docPr id="10" name="Picture 10" descr="C:\Users\joanne.starkie\AppData\Local\Microsoft\Windows\Temporary Internet Files\Content.Outlook\9VHC8JO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starkie\AppData\Local\Microsoft\Windows\Temporary Internet Files\Content.Outlook\9VHC8JOT\Hea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5887" cy="22828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28D" w:rsidRDefault="0081228D" w:rsidP="00B27AB9">
      <w:pPr>
        <w:spacing w:line="360" w:lineRule="auto"/>
        <w:jc w:val="center"/>
        <w:rPr>
          <w:b/>
          <w:color w:val="4F81BD" w:themeColor="accent1"/>
          <w:sz w:val="32"/>
          <w:szCs w:val="32"/>
        </w:rPr>
      </w:pPr>
    </w:p>
    <w:p w:rsidR="00C71F22" w:rsidRDefault="00C71F22" w:rsidP="00B27AB9">
      <w:pPr>
        <w:spacing w:line="360" w:lineRule="auto"/>
        <w:jc w:val="center"/>
        <w:rPr>
          <w:b/>
          <w:color w:val="4F81BD" w:themeColor="accent1"/>
          <w:sz w:val="32"/>
          <w:szCs w:val="32"/>
        </w:rPr>
      </w:pPr>
    </w:p>
    <w:p w:rsidR="0081228D" w:rsidRDefault="0081228D" w:rsidP="00B27AB9">
      <w:pPr>
        <w:spacing w:line="360" w:lineRule="auto"/>
        <w:jc w:val="center"/>
        <w:rPr>
          <w:b/>
          <w:color w:val="4F81BD" w:themeColor="accent1"/>
          <w:sz w:val="32"/>
          <w:szCs w:val="32"/>
        </w:rPr>
      </w:pPr>
    </w:p>
    <w:p w:rsidR="001638B9" w:rsidRPr="001638B9" w:rsidRDefault="001638B9" w:rsidP="001638B9">
      <w:pPr>
        <w:spacing w:line="360" w:lineRule="auto"/>
        <w:ind w:right="-214"/>
        <w:jc w:val="center"/>
        <w:rPr>
          <w:rFonts w:cs="Arial"/>
          <w:b/>
          <w:color w:val="0070C0"/>
          <w:sz w:val="28"/>
          <w:szCs w:val="28"/>
        </w:rPr>
      </w:pPr>
      <w:bookmarkStart w:id="0" w:name="DP"/>
      <w:r w:rsidRPr="001638B9">
        <w:rPr>
          <w:rFonts w:cs="Arial"/>
          <w:b/>
          <w:color w:val="0070C0"/>
          <w:sz w:val="28"/>
          <w:szCs w:val="28"/>
        </w:rPr>
        <w:t xml:space="preserve">Data protection and </w:t>
      </w:r>
      <w:bookmarkEnd w:id="0"/>
      <w:r w:rsidRPr="001638B9">
        <w:rPr>
          <w:rFonts w:cs="Arial"/>
          <w:b/>
          <w:color w:val="0070C0"/>
          <w:sz w:val="28"/>
          <w:szCs w:val="28"/>
        </w:rPr>
        <w:t>confidentiality</w:t>
      </w:r>
    </w:p>
    <w:p w:rsidR="001638B9" w:rsidRDefault="001638B9" w:rsidP="001638B9">
      <w:pPr>
        <w:pStyle w:val="Default"/>
        <w:spacing w:line="360" w:lineRule="auto"/>
        <w:rPr>
          <w:rFonts w:ascii="Arial" w:hAnsi="Arial" w:cs="Arial"/>
          <w:color w:val="0070C0"/>
          <w:u w:val="single"/>
        </w:rPr>
      </w:pPr>
    </w:p>
    <w:p w:rsidR="001638B9" w:rsidRDefault="001638B9" w:rsidP="001638B9">
      <w:pPr>
        <w:pStyle w:val="Default"/>
        <w:spacing w:line="360" w:lineRule="auto"/>
        <w:rPr>
          <w:rFonts w:ascii="Arial" w:hAnsi="Arial" w:cs="Arial"/>
          <w:b/>
          <w:color w:val="0070C0"/>
        </w:rPr>
      </w:pPr>
      <w:r w:rsidRPr="001638B9">
        <w:rPr>
          <w:rFonts w:ascii="Arial" w:hAnsi="Arial" w:cs="Arial"/>
          <w:b/>
          <w:color w:val="0070C0"/>
        </w:rPr>
        <w:t>What are the basic guidelines for data protection and confidentiality?</w:t>
      </w:r>
    </w:p>
    <w:p w:rsidR="001638B9" w:rsidRPr="001638B9" w:rsidRDefault="001638B9" w:rsidP="001638B9">
      <w:pPr>
        <w:pStyle w:val="Default"/>
        <w:spacing w:line="360" w:lineRule="auto"/>
        <w:rPr>
          <w:rFonts w:ascii="Arial" w:hAnsi="Arial" w:cs="Arial"/>
          <w:b/>
          <w:color w:val="0070C0"/>
        </w:rPr>
      </w:pPr>
    </w:p>
    <w:p w:rsidR="001638B9" w:rsidRPr="00907A73" w:rsidRDefault="001638B9" w:rsidP="001638B9">
      <w:pPr>
        <w:pStyle w:val="ListParagraph"/>
        <w:numPr>
          <w:ilvl w:val="0"/>
          <w:numId w:val="9"/>
        </w:numPr>
        <w:autoSpaceDE w:val="0"/>
        <w:autoSpaceDN w:val="0"/>
        <w:adjustRightInd w:val="0"/>
        <w:spacing w:line="360" w:lineRule="auto"/>
        <w:ind w:left="284" w:hanging="284"/>
        <w:rPr>
          <w:rFonts w:cs="Arial"/>
        </w:rPr>
      </w:pPr>
      <w:r>
        <w:rPr>
          <w:rFonts w:cs="Arial"/>
        </w:rPr>
        <w:t xml:space="preserve">Listen to carers.  </w:t>
      </w:r>
      <w:r w:rsidRPr="00907A73">
        <w:rPr>
          <w:rFonts w:cs="Arial"/>
        </w:rPr>
        <w:t>There can be no brea</w:t>
      </w:r>
      <w:r>
        <w:rPr>
          <w:rFonts w:cs="Arial"/>
        </w:rPr>
        <w:t>ch of confidentiality in meeting a</w:t>
      </w:r>
      <w:r w:rsidRPr="00907A73">
        <w:rPr>
          <w:rFonts w:cs="Arial"/>
        </w:rPr>
        <w:t xml:space="preserve"> </w:t>
      </w:r>
      <w:proofErr w:type="spellStart"/>
      <w:r w:rsidRPr="00907A73">
        <w:rPr>
          <w:rFonts w:cs="Arial"/>
        </w:rPr>
        <w:t>carer</w:t>
      </w:r>
      <w:proofErr w:type="spellEnd"/>
      <w:r w:rsidRPr="00907A73">
        <w:rPr>
          <w:rFonts w:cs="Arial"/>
        </w:rPr>
        <w:t xml:space="preserve"> and listening to what they have to say</w:t>
      </w:r>
    </w:p>
    <w:p w:rsidR="001638B9" w:rsidRDefault="001638B9" w:rsidP="001638B9">
      <w:pPr>
        <w:pStyle w:val="Default"/>
        <w:numPr>
          <w:ilvl w:val="0"/>
          <w:numId w:val="9"/>
        </w:numPr>
        <w:spacing w:line="360" w:lineRule="auto"/>
        <w:ind w:left="284" w:hanging="284"/>
        <w:rPr>
          <w:rFonts w:ascii="Arial" w:hAnsi="Arial" w:cs="Arial"/>
        </w:rPr>
      </w:pPr>
      <w:r>
        <w:rPr>
          <w:rFonts w:ascii="Arial" w:hAnsi="Arial" w:cs="Arial"/>
        </w:rPr>
        <w:t xml:space="preserve">Usually, you will generally need to gain consent from the cared-for person before sharing information about them with a </w:t>
      </w:r>
      <w:proofErr w:type="spellStart"/>
      <w:r>
        <w:rPr>
          <w:rFonts w:ascii="Arial" w:hAnsi="Arial" w:cs="Arial"/>
        </w:rPr>
        <w:t>carer</w:t>
      </w:r>
      <w:proofErr w:type="spellEnd"/>
      <w:r>
        <w:rPr>
          <w:rFonts w:ascii="Arial" w:hAnsi="Arial" w:cs="Arial"/>
        </w:rPr>
        <w:t>.</w:t>
      </w:r>
    </w:p>
    <w:p w:rsidR="001638B9" w:rsidRPr="00907A73" w:rsidRDefault="001638B9" w:rsidP="001638B9">
      <w:pPr>
        <w:pStyle w:val="Default"/>
        <w:numPr>
          <w:ilvl w:val="0"/>
          <w:numId w:val="9"/>
        </w:numPr>
        <w:spacing w:line="360" w:lineRule="auto"/>
        <w:ind w:left="284" w:hanging="284"/>
        <w:rPr>
          <w:rFonts w:ascii="Arial" w:hAnsi="Arial" w:cs="Arial"/>
        </w:rPr>
      </w:pPr>
      <w:r w:rsidRPr="00907A73">
        <w:rPr>
          <w:rFonts w:ascii="Arial" w:hAnsi="Arial" w:cs="Arial"/>
          <w:iCs/>
        </w:rPr>
        <w:t xml:space="preserve">There may be some situations where there are public or personal safety concerns which make information </w:t>
      </w:r>
      <w:r>
        <w:rPr>
          <w:rFonts w:ascii="Arial" w:hAnsi="Arial" w:cs="Arial"/>
          <w:iCs/>
        </w:rPr>
        <w:t>sharing</w:t>
      </w:r>
      <w:r w:rsidRPr="00907A73">
        <w:rPr>
          <w:rFonts w:ascii="Arial" w:hAnsi="Arial" w:cs="Arial"/>
          <w:iCs/>
        </w:rPr>
        <w:t xml:space="preserve"> without consent necessary.  For example, </w:t>
      </w:r>
      <w:r w:rsidRPr="00907A73">
        <w:rPr>
          <w:rFonts w:ascii="Arial" w:hAnsi="Arial" w:cs="Arial"/>
          <w:color w:val="auto"/>
        </w:rPr>
        <w:t xml:space="preserve">if the sharing of the personal information is to prevent serious harm to the </w:t>
      </w:r>
      <w:r>
        <w:rPr>
          <w:rFonts w:ascii="Arial" w:hAnsi="Arial" w:cs="Arial"/>
          <w:color w:val="auto"/>
        </w:rPr>
        <w:t>person</w:t>
      </w:r>
      <w:r w:rsidRPr="00907A73">
        <w:rPr>
          <w:rFonts w:ascii="Arial" w:hAnsi="Arial" w:cs="Arial"/>
          <w:color w:val="auto"/>
        </w:rPr>
        <w:t xml:space="preserve"> or others.</w:t>
      </w:r>
    </w:p>
    <w:p w:rsidR="001638B9" w:rsidRPr="005469FD" w:rsidRDefault="001638B9" w:rsidP="001638B9">
      <w:pPr>
        <w:pStyle w:val="Default"/>
        <w:numPr>
          <w:ilvl w:val="0"/>
          <w:numId w:val="9"/>
        </w:numPr>
        <w:spacing w:line="360" w:lineRule="auto"/>
        <w:ind w:left="284" w:hanging="284"/>
        <w:rPr>
          <w:rFonts w:ascii="Arial" w:hAnsi="Arial" w:cs="Arial"/>
          <w:color w:val="auto"/>
        </w:rPr>
      </w:pPr>
      <w:r w:rsidRPr="005469FD">
        <w:rPr>
          <w:rFonts w:ascii="Arial" w:hAnsi="Arial" w:cs="Arial"/>
          <w:color w:val="auto"/>
        </w:rPr>
        <w:t xml:space="preserve">Staff should assess the person’s capacity to give or withhold consent to the sharing of information.  </w:t>
      </w:r>
      <w:r w:rsidRPr="005469FD">
        <w:rPr>
          <w:rFonts w:ascii="Arial" w:hAnsi="Arial" w:cs="Arial"/>
          <w:color w:val="auto"/>
          <w:lang w:val="en"/>
        </w:rPr>
        <w:t xml:space="preserve">Anything done for or on behalf of a person who lacks mental capacity must be done in their best interests.  </w:t>
      </w:r>
      <w:r w:rsidRPr="005469FD">
        <w:rPr>
          <w:rFonts w:ascii="Arial" w:hAnsi="Arial" w:cs="Arial"/>
          <w:color w:val="auto"/>
        </w:rPr>
        <w:t>There is a detailed set of guidance</w:t>
      </w:r>
      <w:r>
        <w:rPr>
          <w:rFonts w:ascii="Arial" w:hAnsi="Arial" w:cs="Arial"/>
          <w:color w:val="auto"/>
        </w:rPr>
        <w:t xml:space="preserve"> and requirements for staff in relation to this,</w:t>
      </w:r>
      <w:r w:rsidRPr="005469FD">
        <w:rPr>
          <w:rFonts w:ascii="Arial" w:hAnsi="Arial" w:cs="Arial"/>
          <w:color w:val="auto"/>
        </w:rPr>
        <w:t xml:space="preserve"> </w:t>
      </w:r>
      <w:r>
        <w:rPr>
          <w:rFonts w:ascii="Arial" w:hAnsi="Arial" w:cs="Arial"/>
          <w:color w:val="auto"/>
        </w:rPr>
        <w:t xml:space="preserve">arising from the </w:t>
      </w:r>
      <w:hyperlink r:id="rId7" w:history="1">
        <w:r w:rsidRPr="001638B9">
          <w:rPr>
            <w:rStyle w:val="Hyperlink"/>
            <w:rFonts w:ascii="Arial" w:hAnsi="Arial" w:cs="Arial"/>
            <w:color w:val="0070C0"/>
          </w:rPr>
          <w:t>2005 Mental Health Act</w:t>
        </w:r>
      </w:hyperlink>
      <w:r w:rsidRPr="001638B9">
        <w:rPr>
          <w:rFonts w:ascii="Arial" w:hAnsi="Arial" w:cs="Arial"/>
          <w:color w:val="0070C0"/>
        </w:rPr>
        <w:t>.</w:t>
      </w:r>
    </w:p>
    <w:p w:rsidR="001638B9" w:rsidRDefault="001638B9" w:rsidP="001638B9">
      <w:pPr>
        <w:pStyle w:val="Default"/>
        <w:spacing w:line="360" w:lineRule="auto"/>
        <w:rPr>
          <w:rFonts w:ascii="Arial" w:hAnsi="Arial" w:cs="Arial"/>
          <w:color w:val="auto"/>
        </w:rPr>
      </w:pPr>
    </w:p>
    <w:p w:rsidR="001638B9" w:rsidRPr="00F343EA" w:rsidRDefault="001638B9" w:rsidP="001638B9">
      <w:pPr>
        <w:pStyle w:val="Default"/>
        <w:spacing w:line="360" w:lineRule="auto"/>
        <w:rPr>
          <w:rFonts w:ascii="Arial" w:hAnsi="Arial" w:cs="Arial"/>
        </w:rPr>
      </w:pPr>
      <w:r w:rsidRPr="005B145E">
        <w:rPr>
          <w:rFonts w:ascii="Arial" w:hAnsi="Arial" w:cs="Arial"/>
          <w:color w:val="auto"/>
        </w:rPr>
        <w:t>All health</w:t>
      </w:r>
      <w:r>
        <w:rPr>
          <w:rFonts w:ascii="Arial" w:hAnsi="Arial" w:cs="Arial"/>
        </w:rPr>
        <w:t xml:space="preserve"> and social care</w:t>
      </w:r>
      <w:r w:rsidRPr="005B145E">
        <w:rPr>
          <w:rFonts w:ascii="Arial" w:hAnsi="Arial" w:cs="Arial"/>
          <w:color w:val="auto"/>
        </w:rPr>
        <w:t xml:space="preserve"> professionals are bound by law and professional codes of conduct to this duty of confidentiality to their patients</w:t>
      </w:r>
      <w:r>
        <w:rPr>
          <w:rFonts w:ascii="Arial" w:hAnsi="Arial" w:cs="Arial"/>
        </w:rPr>
        <w:t xml:space="preserve"> and service users</w:t>
      </w:r>
      <w:r w:rsidRPr="005B145E">
        <w:rPr>
          <w:rFonts w:ascii="Arial" w:hAnsi="Arial" w:cs="Arial"/>
          <w:color w:val="auto"/>
        </w:rPr>
        <w:t xml:space="preserve">. </w:t>
      </w:r>
      <w:r>
        <w:rPr>
          <w:rFonts w:ascii="Arial" w:hAnsi="Arial" w:cs="Arial"/>
          <w:color w:val="auto"/>
        </w:rPr>
        <w:t xml:space="preserve"> Please contact the organisation you work for to find out about the resources available to you in relation to data protection (e.g. staff training).</w:t>
      </w:r>
    </w:p>
    <w:p w:rsidR="001638B9" w:rsidRDefault="001638B9" w:rsidP="001638B9">
      <w:pPr>
        <w:pStyle w:val="Default"/>
        <w:spacing w:line="360" w:lineRule="auto"/>
        <w:rPr>
          <w:rFonts w:ascii="Arial" w:hAnsi="Arial" w:cs="Arial"/>
        </w:rPr>
      </w:pPr>
    </w:p>
    <w:p w:rsidR="001638B9" w:rsidRDefault="001638B9" w:rsidP="001638B9">
      <w:pPr>
        <w:pStyle w:val="Default"/>
        <w:spacing w:line="360" w:lineRule="auto"/>
        <w:rPr>
          <w:rFonts w:ascii="Arial" w:hAnsi="Arial" w:cs="Arial"/>
        </w:rPr>
      </w:pPr>
    </w:p>
    <w:p w:rsidR="001638B9" w:rsidRDefault="001638B9" w:rsidP="001638B9">
      <w:pPr>
        <w:pStyle w:val="Default"/>
        <w:spacing w:line="360" w:lineRule="auto"/>
        <w:rPr>
          <w:rFonts w:ascii="Arial" w:hAnsi="Arial" w:cs="Arial"/>
        </w:rPr>
      </w:pPr>
    </w:p>
    <w:p w:rsidR="001638B9" w:rsidRDefault="001638B9" w:rsidP="001638B9">
      <w:pPr>
        <w:pStyle w:val="Default"/>
        <w:spacing w:line="360" w:lineRule="auto"/>
        <w:rPr>
          <w:rFonts w:ascii="Arial" w:hAnsi="Arial" w:cs="Arial"/>
        </w:rPr>
      </w:pPr>
    </w:p>
    <w:p w:rsidR="001638B9" w:rsidRDefault="001638B9" w:rsidP="001638B9">
      <w:pPr>
        <w:pStyle w:val="Default"/>
        <w:spacing w:line="360" w:lineRule="auto"/>
        <w:rPr>
          <w:rFonts w:ascii="Arial" w:hAnsi="Arial" w:cs="Arial"/>
        </w:rPr>
      </w:pPr>
    </w:p>
    <w:p w:rsidR="001638B9" w:rsidRDefault="001638B9" w:rsidP="001638B9">
      <w:pPr>
        <w:pStyle w:val="Default"/>
        <w:spacing w:line="360" w:lineRule="auto"/>
        <w:rPr>
          <w:rFonts w:ascii="Arial" w:hAnsi="Arial" w:cs="Arial"/>
        </w:rPr>
      </w:pPr>
    </w:p>
    <w:p w:rsidR="001638B9" w:rsidRDefault="001638B9" w:rsidP="001638B9">
      <w:pPr>
        <w:pStyle w:val="Default"/>
        <w:spacing w:line="360" w:lineRule="auto"/>
        <w:rPr>
          <w:rFonts w:ascii="Arial" w:hAnsi="Arial" w:cs="Arial"/>
          <w:b/>
          <w:color w:val="31849B" w:themeColor="accent5" w:themeShade="BF"/>
        </w:rPr>
      </w:pPr>
      <w:r w:rsidRPr="001638B9">
        <w:rPr>
          <w:rFonts w:ascii="Arial" w:hAnsi="Arial" w:cs="Arial"/>
          <w:b/>
          <w:color w:val="0070C0"/>
        </w:rPr>
        <w:lastRenderedPageBreak/>
        <w:t>How can I make things easier for carers within these guidelines</w:t>
      </w:r>
      <w:r w:rsidRPr="001638B9">
        <w:rPr>
          <w:rFonts w:ascii="Arial" w:hAnsi="Arial" w:cs="Arial"/>
          <w:b/>
          <w:color w:val="31849B" w:themeColor="accent5" w:themeShade="BF"/>
        </w:rPr>
        <w:t>?</w:t>
      </w:r>
    </w:p>
    <w:p w:rsidR="001638B9" w:rsidRPr="001638B9" w:rsidRDefault="001638B9" w:rsidP="001638B9">
      <w:pPr>
        <w:pStyle w:val="Default"/>
        <w:spacing w:line="360" w:lineRule="auto"/>
        <w:rPr>
          <w:rFonts w:ascii="Arial" w:hAnsi="Arial" w:cs="Arial"/>
          <w:b/>
          <w:color w:val="31849B" w:themeColor="accent5" w:themeShade="BF"/>
        </w:rPr>
      </w:pPr>
    </w:p>
    <w:p w:rsidR="001638B9" w:rsidRPr="002642FE" w:rsidRDefault="001638B9" w:rsidP="001638B9">
      <w:pPr>
        <w:pStyle w:val="ListParagraph"/>
        <w:numPr>
          <w:ilvl w:val="0"/>
          <w:numId w:val="11"/>
        </w:numPr>
        <w:autoSpaceDE w:val="0"/>
        <w:autoSpaceDN w:val="0"/>
        <w:adjustRightInd w:val="0"/>
        <w:spacing w:line="360" w:lineRule="auto"/>
        <w:ind w:left="284" w:hanging="284"/>
        <w:rPr>
          <w:rFonts w:cs="Arial"/>
        </w:rPr>
      </w:pPr>
      <w:r w:rsidRPr="003223A3">
        <w:rPr>
          <w:rFonts w:cs="Arial"/>
          <w:bCs/>
          <w:u w:val="single"/>
        </w:rPr>
        <w:t>Discuss information sharing with the cared-for person</w:t>
      </w:r>
      <w:r>
        <w:rPr>
          <w:rFonts w:cs="Arial"/>
          <w:bCs/>
        </w:rPr>
        <w:t xml:space="preserve">.  Do this at an early stage.  Ask if there is any particular information they wish to withhold.  </w:t>
      </w:r>
      <w:r w:rsidRPr="002642FE">
        <w:rPr>
          <w:rFonts w:cs="Arial"/>
          <w:bCs/>
        </w:rPr>
        <w:t xml:space="preserve">Support </w:t>
      </w:r>
      <w:r>
        <w:rPr>
          <w:rFonts w:cs="Arial"/>
          <w:bCs/>
        </w:rPr>
        <w:t>them</w:t>
      </w:r>
      <w:r w:rsidRPr="002642FE">
        <w:rPr>
          <w:rFonts w:cs="Arial"/>
          <w:bCs/>
        </w:rPr>
        <w:t xml:space="preserve"> to understand the benefits of sharing appropriate information with their carer.</w:t>
      </w:r>
    </w:p>
    <w:p w:rsidR="001638B9" w:rsidRPr="005469FD" w:rsidRDefault="001638B9" w:rsidP="001638B9">
      <w:pPr>
        <w:pStyle w:val="ListParagraph"/>
        <w:numPr>
          <w:ilvl w:val="0"/>
          <w:numId w:val="11"/>
        </w:numPr>
        <w:autoSpaceDE w:val="0"/>
        <w:autoSpaceDN w:val="0"/>
        <w:adjustRightInd w:val="0"/>
        <w:spacing w:line="360" w:lineRule="auto"/>
        <w:ind w:left="284" w:hanging="284"/>
        <w:rPr>
          <w:rFonts w:cs="Arial"/>
        </w:rPr>
      </w:pPr>
      <w:r w:rsidRPr="003223A3">
        <w:rPr>
          <w:rFonts w:cs="Arial"/>
          <w:bCs/>
          <w:u w:val="single"/>
        </w:rPr>
        <w:t>Encourage the use of advanced directives</w:t>
      </w:r>
      <w:r>
        <w:rPr>
          <w:rFonts w:cs="Arial"/>
          <w:bCs/>
        </w:rPr>
        <w:t>.  This</w:t>
      </w:r>
      <w:r w:rsidRPr="002642FE">
        <w:rPr>
          <w:rFonts w:cs="Arial"/>
          <w:bCs/>
        </w:rPr>
        <w:t xml:space="preserve"> allows </w:t>
      </w:r>
      <w:r>
        <w:rPr>
          <w:rFonts w:cs="Arial"/>
          <w:bCs/>
        </w:rPr>
        <w:t>the cared-for person</w:t>
      </w:r>
      <w:r w:rsidRPr="002642FE">
        <w:rPr>
          <w:rFonts w:cs="Arial"/>
          <w:bCs/>
        </w:rPr>
        <w:t xml:space="preserve"> to plan their care when they are well in anticipation of when they may be unwell.</w:t>
      </w:r>
    </w:p>
    <w:p w:rsidR="001638B9" w:rsidRDefault="001638B9" w:rsidP="001638B9">
      <w:pPr>
        <w:pStyle w:val="ListParagraph"/>
        <w:numPr>
          <w:ilvl w:val="0"/>
          <w:numId w:val="11"/>
        </w:numPr>
        <w:autoSpaceDE w:val="0"/>
        <w:autoSpaceDN w:val="0"/>
        <w:adjustRightInd w:val="0"/>
        <w:spacing w:line="360" w:lineRule="auto"/>
        <w:ind w:left="284" w:hanging="284"/>
        <w:rPr>
          <w:rFonts w:cs="Arial"/>
        </w:rPr>
      </w:pPr>
      <w:r w:rsidRPr="003223A3">
        <w:rPr>
          <w:rFonts w:cs="Arial"/>
          <w:u w:val="single"/>
          <w:lang w:val="en"/>
        </w:rPr>
        <w:t xml:space="preserve">Explain the basics around confidentiality and data protection to </w:t>
      </w:r>
      <w:proofErr w:type="spellStart"/>
      <w:r w:rsidRPr="003223A3">
        <w:rPr>
          <w:rFonts w:cs="Arial"/>
          <w:u w:val="single"/>
          <w:lang w:val="en"/>
        </w:rPr>
        <w:t>carers</w:t>
      </w:r>
      <w:proofErr w:type="spellEnd"/>
      <w:r>
        <w:rPr>
          <w:rFonts w:cs="Arial"/>
          <w:lang w:val="en"/>
        </w:rPr>
        <w:t xml:space="preserve">.  </w:t>
      </w:r>
      <w:r w:rsidRPr="005469FD">
        <w:rPr>
          <w:rFonts w:cs="Arial"/>
        </w:rPr>
        <w:t xml:space="preserve">Explain to carers what information can be shared and why some information cannot be shared. </w:t>
      </w:r>
    </w:p>
    <w:p w:rsidR="001638B9" w:rsidRDefault="001638B9" w:rsidP="001638B9">
      <w:pPr>
        <w:pStyle w:val="ListParagraph"/>
        <w:numPr>
          <w:ilvl w:val="0"/>
          <w:numId w:val="11"/>
        </w:numPr>
        <w:autoSpaceDE w:val="0"/>
        <w:autoSpaceDN w:val="0"/>
        <w:adjustRightInd w:val="0"/>
        <w:spacing w:line="360" w:lineRule="auto"/>
        <w:ind w:left="284" w:hanging="284"/>
        <w:rPr>
          <w:rFonts w:cs="Arial"/>
        </w:rPr>
      </w:pPr>
      <w:r w:rsidRPr="003223A3">
        <w:rPr>
          <w:rFonts w:cs="Arial"/>
          <w:u w:val="single"/>
        </w:rPr>
        <w:t>Share general information with carers</w:t>
      </w:r>
      <w:r>
        <w:rPr>
          <w:rFonts w:cs="Arial"/>
        </w:rPr>
        <w:t xml:space="preserve"> that is not personal or sensitive and does not breach confidentiality: for example, information about the person’s health condition, the behaviour that may result and how to manage this.  A checklist on the factual information you can share with carers can be found </w:t>
      </w:r>
      <w:hyperlink r:id="rId8" w:history="1">
        <w:r w:rsidRPr="00FA37EB">
          <w:rPr>
            <w:rStyle w:val="Hyperlink"/>
            <w:rFonts w:cs="Arial"/>
            <w:color w:val="0070C0"/>
          </w:rPr>
          <w:t>here</w:t>
        </w:r>
      </w:hyperlink>
      <w:r>
        <w:rPr>
          <w:rFonts w:cs="Arial"/>
        </w:rPr>
        <w:t>.</w:t>
      </w:r>
    </w:p>
    <w:p w:rsidR="001638B9" w:rsidRDefault="001638B9" w:rsidP="001638B9">
      <w:pPr>
        <w:pStyle w:val="ListParagraph"/>
        <w:numPr>
          <w:ilvl w:val="0"/>
          <w:numId w:val="11"/>
        </w:numPr>
        <w:autoSpaceDE w:val="0"/>
        <w:autoSpaceDN w:val="0"/>
        <w:adjustRightInd w:val="0"/>
        <w:spacing w:line="360" w:lineRule="auto"/>
        <w:ind w:left="284" w:hanging="284"/>
        <w:rPr>
          <w:rFonts w:cs="Arial"/>
        </w:rPr>
      </w:pPr>
      <w:r>
        <w:rPr>
          <w:noProof/>
        </w:rPr>
        <mc:AlternateContent>
          <mc:Choice Requires="wps">
            <w:drawing>
              <wp:anchor distT="0" distB="0" distL="114300" distR="114300" simplePos="0" relativeHeight="251672576" behindDoc="1" locked="0" layoutInCell="1" allowOverlap="1" wp14:anchorId="48684AFC" wp14:editId="64117B57">
                <wp:simplePos x="0" y="0"/>
                <wp:positionH relativeFrom="column">
                  <wp:posOffset>-142875</wp:posOffset>
                </wp:positionH>
                <wp:positionV relativeFrom="paragraph">
                  <wp:posOffset>1161415</wp:posOffset>
                </wp:positionV>
                <wp:extent cx="5686425" cy="3038475"/>
                <wp:effectExtent l="0" t="0" r="28575" b="28575"/>
                <wp:wrapTight wrapText="bothSides">
                  <wp:wrapPolygon edited="0">
                    <wp:start x="1375" y="0"/>
                    <wp:lineTo x="796" y="406"/>
                    <wp:lineTo x="0" y="1625"/>
                    <wp:lineTo x="0" y="19907"/>
                    <wp:lineTo x="1085" y="21668"/>
                    <wp:lineTo x="1303" y="21668"/>
                    <wp:lineTo x="20334" y="21668"/>
                    <wp:lineTo x="20551" y="21668"/>
                    <wp:lineTo x="21636" y="19907"/>
                    <wp:lineTo x="21636" y="1761"/>
                    <wp:lineTo x="20623" y="135"/>
                    <wp:lineTo x="20261" y="0"/>
                    <wp:lineTo x="1375" y="0"/>
                  </wp:wrapPolygon>
                </wp:wrapTight>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3038475"/>
                        </a:xfrm>
                        <a:prstGeom prst="roundRect">
                          <a:avLst/>
                        </a:prstGeom>
                        <a:solidFill>
                          <a:sysClr val="window" lastClr="FFFFFF"/>
                        </a:solidFill>
                        <a:ln w="25400" cap="flat" cmpd="sng" algn="ctr">
                          <a:solidFill>
                            <a:srgbClr val="F79646"/>
                          </a:solidFill>
                          <a:prstDash val="solid"/>
                        </a:ln>
                        <a:effectLst/>
                      </wps:spPr>
                      <wps:txbx>
                        <w:txbxContent>
                          <w:p w:rsidR="001638B9" w:rsidRPr="005B145E" w:rsidRDefault="001638B9" w:rsidP="001638B9">
                            <w:pPr>
                              <w:pStyle w:val="ListParagraph"/>
                              <w:spacing w:line="360" w:lineRule="auto"/>
                              <w:ind w:left="0"/>
                              <w:rPr>
                                <w:rStyle w:val="Emphasis"/>
                                <w:rFonts w:cs="Arial"/>
                                <w:bCs/>
                                <w:lang w:val="en"/>
                              </w:rPr>
                            </w:pPr>
                            <w:r>
                              <w:rPr>
                                <w:rStyle w:val="Emphasis"/>
                                <w:rFonts w:cs="Arial"/>
                                <w:bCs/>
                                <w:lang w:val="en"/>
                              </w:rPr>
                              <w:t>“</w:t>
                            </w:r>
                            <w:r w:rsidRPr="005B145E">
                              <w:rPr>
                                <w:rStyle w:val="Emphasis"/>
                                <w:rFonts w:cs="Arial"/>
                                <w:bCs/>
                                <w:lang w:val="en"/>
                              </w:rPr>
                              <w:t xml:space="preserve">Mary lives amicably with her sister Carol. For the last two weeks, Mary has become increasingly manic with heightened activity and agitated conversations lasting well into the night. Carol ﬁnally persuades Mary that she needs professional help. By now they are </w:t>
                            </w:r>
                            <w:proofErr w:type="gramStart"/>
                            <w:r w:rsidRPr="005B145E">
                              <w:rPr>
                                <w:rStyle w:val="Emphasis"/>
                                <w:rFonts w:cs="Arial"/>
                                <w:bCs/>
                                <w:lang w:val="en"/>
                              </w:rPr>
                              <w:t>both stressed</w:t>
                            </w:r>
                            <w:proofErr w:type="gramEnd"/>
                            <w:r w:rsidRPr="005B145E">
                              <w:rPr>
                                <w:rStyle w:val="Emphasis"/>
                                <w:rFonts w:cs="Arial"/>
                                <w:bCs/>
                                <w:lang w:val="en"/>
                              </w:rPr>
                              <w:t>, exhausted and angry. Mary tells the doctor she wants no further contact with her sister and doesn’t want her involved in any discussions about her care. Fortunately, there was a note in Mary’s records stating that, when she was well, she had given permission for information and decisions to be shared with her sister if she became ill again</w:t>
                            </w:r>
                            <w:r>
                              <w:rPr>
                                <w:rStyle w:val="Emphasis"/>
                                <w:rFonts w:cs="Arial"/>
                                <w:bCs/>
                                <w:lang w:val="en"/>
                              </w:rPr>
                              <w:t>” – Case study taken from Royal College of Psychiatrists site.</w:t>
                            </w:r>
                          </w:p>
                          <w:p w:rsidR="001638B9" w:rsidRPr="00257F76" w:rsidRDefault="001638B9" w:rsidP="001638B9">
                            <w:pPr>
                              <w:spacing w:line="360" w:lineRule="auto"/>
                              <w:rPr>
                                <w:rFonts w:cs="Arial"/>
                                <w:color w:val="000000"/>
                              </w:rPr>
                            </w:pPr>
                          </w:p>
                          <w:p w:rsidR="001638B9" w:rsidRDefault="001638B9" w:rsidP="001638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26" style="position:absolute;left:0;text-align:left;margin-left:-11.25pt;margin-top:91.45pt;width:447.75pt;height:23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" fillcolor="window" strokecolor="#f79646" strokeweight="2pt">
                <v:path arrowok="t"/>
                <v:textbox>
                  <w:txbxContent>
                    <w:p w:rsidR="001638B9" w:rsidRPr="005B145E" w:rsidRDefault="001638B9" w:rsidP="001638B9">
                      <w:pPr>
                        <w:pStyle w:val="ListParagraph"/>
                        <w:spacing w:line="360" w:lineRule="auto"/>
                        <w:ind w:left="0"/>
                        <w:rPr>
                          <w:rStyle w:val="Emphasis"/>
                          <w:rFonts w:cs="Arial"/>
                          <w:bCs/>
                          <w:lang w:val="en"/>
                        </w:rPr>
                      </w:pPr>
                      <w:r>
                        <w:rPr>
                          <w:rStyle w:val="Emphasis"/>
                          <w:rFonts w:cs="Arial"/>
                          <w:bCs/>
                          <w:lang w:val="en"/>
                        </w:rPr>
                        <w:t>“</w:t>
                      </w:r>
                      <w:r w:rsidRPr="005B145E">
                        <w:rPr>
                          <w:rStyle w:val="Emphasis"/>
                          <w:rFonts w:cs="Arial"/>
                          <w:bCs/>
                          <w:lang w:val="en"/>
                        </w:rPr>
                        <w:t xml:space="preserve">Mary lives amicably with her sister Carol. For the last two weeks, Mary has become increasingly manic with heightened activity and agitated conversations lasting well into the night. Carol ﬁnally persuades Mary that she needs professional help. By now they are </w:t>
                      </w:r>
                      <w:proofErr w:type="gramStart"/>
                      <w:r w:rsidRPr="005B145E">
                        <w:rPr>
                          <w:rStyle w:val="Emphasis"/>
                          <w:rFonts w:cs="Arial"/>
                          <w:bCs/>
                          <w:lang w:val="en"/>
                        </w:rPr>
                        <w:t>both stressed</w:t>
                      </w:r>
                      <w:proofErr w:type="gramEnd"/>
                      <w:r w:rsidRPr="005B145E">
                        <w:rPr>
                          <w:rStyle w:val="Emphasis"/>
                          <w:rFonts w:cs="Arial"/>
                          <w:bCs/>
                          <w:lang w:val="en"/>
                        </w:rPr>
                        <w:t>, exhausted and angry. Mary tells the doctor she wants no further contact with her sister and doesn’t want her involved in any discussions about her care. Fortunately, there was a note in Mary’s records stating that, when she was well, she had given permission for information and decisions to be shared with her sister if she became ill again</w:t>
                      </w:r>
                      <w:r>
                        <w:rPr>
                          <w:rStyle w:val="Emphasis"/>
                          <w:rFonts w:cs="Arial"/>
                          <w:bCs/>
                          <w:lang w:val="en"/>
                        </w:rPr>
                        <w:t>” – Case study taken from Royal College of Psychiatrists site.</w:t>
                      </w:r>
                    </w:p>
                    <w:p w:rsidR="001638B9" w:rsidRPr="00257F76" w:rsidRDefault="001638B9" w:rsidP="001638B9">
                      <w:pPr>
                        <w:spacing w:line="360" w:lineRule="auto"/>
                        <w:rPr>
                          <w:rFonts w:cs="Arial"/>
                          <w:color w:val="000000"/>
                        </w:rPr>
                      </w:pPr>
                    </w:p>
                    <w:p w:rsidR="001638B9" w:rsidRDefault="001638B9" w:rsidP="001638B9">
                      <w:pPr>
                        <w:jc w:val="center"/>
                      </w:pPr>
                    </w:p>
                  </w:txbxContent>
                </v:textbox>
                <w10:wrap type="tight"/>
              </v:roundrect>
            </w:pict>
          </mc:Fallback>
        </mc:AlternateContent>
      </w:r>
      <w:r w:rsidRPr="003223A3">
        <w:rPr>
          <w:rFonts w:cs="Arial"/>
          <w:u w:val="single"/>
        </w:rPr>
        <w:t>Record issues</w:t>
      </w:r>
      <w:r>
        <w:rPr>
          <w:rFonts w:cs="Arial"/>
        </w:rPr>
        <w:t xml:space="preserve"> regarding confidentiality in the cared-for persons notes, so that staff can clearly see this.  Carers and the people they care for can find it frustrating to repeatedly give consent for the same information to be shared.</w:t>
      </w:r>
    </w:p>
    <w:p w:rsidR="001638B9" w:rsidRDefault="001638B9" w:rsidP="001638B9">
      <w:pPr>
        <w:pStyle w:val="Default"/>
        <w:spacing w:line="360" w:lineRule="auto"/>
        <w:rPr>
          <w:rFonts w:ascii="Arial" w:hAnsi="Arial" w:cs="Arial"/>
          <w:i/>
          <w:color w:val="0070C0"/>
        </w:rPr>
      </w:pPr>
    </w:p>
    <w:p w:rsidR="001638B9" w:rsidRDefault="001638B9" w:rsidP="001638B9">
      <w:pPr>
        <w:pStyle w:val="Default"/>
        <w:spacing w:line="360" w:lineRule="auto"/>
        <w:rPr>
          <w:rFonts w:ascii="Arial" w:hAnsi="Arial" w:cs="Arial"/>
          <w:b/>
          <w:color w:val="0070C0"/>
        </w:rPr>
      </w:pPr>
      <w:r w:rsidRPr="001638B9">
        <w:rPr>
          <w:rFonts w:ascii="Arial" w:hAnsi="Arial" w:cs="Arial"/>
          <w:b/>
          <w:color w:val="0070C0"/>
        </w:rPr>
        <w:t>Why is it important to share information with carers?</w:t>
      </w:r>
    </w:p>
    <w:p w:rsidR="001638B9" w:rsidRPr="001638B9" w:rsidRDefault="001638B9" w:rsidP="001638B9">
      <w:pPr>
        <w:pStyle w:val="Default"/>
        <w:spacing w:line="360" w:lineRule="auto"/>
        <w:rPr>
          <w:rFonts w:ascii="Arial" w:hAnsi="Arial" w:cs="Arial"/>
          <w:b/>
          <w:color w:val="0070C0"/>
        </w:rPr>
      </w:pPr>
    </w:p>
    <w:p w:rsidR="001638B9" w:rsidRDefault="001638B9" w:rsidP="001638B9">
      <w:pPr>
        <w:pStyle w:val="Default"/>
        <w:numPr>
          <w:ilvl w:val="0"/>
          <w:numId w:val="10"/>
        </w:numPr>
        <w:spacing w:line="360" w:lineRule="auto"/>
        <w:ind w:left="284" w:hanging="284"/>
        <w:rPr>
          <w:rFonts w:ascii="Arial" w:hAnsi="Arial" w:cs="Arial"/>
        </w:rPr>
      </w:pPr>
      <w:r w:rsidRPr="005B145E">
        <w:rPr>
          <w:rFonts w:ascii="Arial" w:hAnsi="Arial" w:cs="Arial"/>
        </w:rPr>
        <w:t xml:space="preserve">Sharing relevant information in a timely manner can have an impact on the wellbeing of both the carer and the cared for person. </w:t>
      </w:r>
      <w:r w:rsidRPr="005B145E">
        <w:rPr>
          <w:rFonts w:ascii="Arial" w:hAnsi="Arial" w:cs="Arial"/>
          <w:color w:val="auto"/>
          <w:lang w:val="en"/>
        </w:rPr>
        <w:t xml:space="preserve">Without this, the </w:t>
      </w:r>
      <w:proofErr w:type="spellStart"/>
      <w:r w:rsidRPr="005B145E">
        <w:rPr>
          <w:rFonts w:ascii="Arial" w:hAnsi="Arial" w:cs="Arial"/>
          <w:color w:val="auto"/>
          <w:lang w:val="en"/>
        </w:rPr>
        <w:t>carer</w:t>
      </w:r>
      <w:proofErr w:type="spellEnd"/>
      <w:r w:rsidRPr="005B145E">
        <w:rPr>
          <w:rFonts w:ascii="Arial" w:hAnsi="Arial" w:cs="Arial"/>
          <w:color w:val="auto"/>
          <w:lang w:val="en"/>
        </w:rPr>
        <w:t xml:space="preserve"> may feel unable to continue giving the practical and emotional support that is so important to the patient</w:t>
      </w:r>
    </w:p>
    <w:p w:rsidR="001638B9" w:rsidRPr="005B145E" w:rsidRDefault="001638B9" w:rsidP="001638B9">
      <w:pPr>
        <w:pStyle w:val="Default"/>
        <w:numPr>
          <w:ilvl w:val="0"/>
          <w:numId w:val="10"/>
        </w:numPr>
        <w:spacing w:line="360" w:lineRule="auto"/>
        <w:ind w:left="284" w:hanging="284"/>
        <w:rPr>
          <w:rFonts w:ascii="Arial" w:hAnsi="Arial" w:cs="Arial"/>
        </w:rPr>
      </w:pPr>
      <w:r w:rsidRPr="005B145E">
        <w:rPr>
          <w:rFonts w:ascii="Arial" w:hAnsi="Arial" w:cs="Arial"/>
        </w:rPr>
        <w:t xml:space="preserve">Agreement at an early date over information sharing can prevent problems from occurring later on. </w:t>
      </w:r>
      <w:r>
        <w:rPr>
          <w:rFonts w:ascii="Arial" w:hAnsi="Arial" w:cs="Arial"/>
        </w:rPr>
        <w:t>For example, carers may feel more equipped</w:t>
      </w:r>
      <w:r w:rsidRPr="005B145E">
        <w:rPr>
          <w:rFonts w:ascii="Arial" w:hAnsi="Arial" w:cs="Arial"/>
          <w:bCs/>
        </w:rPr>
        <w:t xml:space="preserve"> to respond appropriately if a difficult situation arises</w:t>
      </w:r>
    </w:p>
    <w:p w:rsidR="001638B9" w:rsidRDefault="001638B9" w:rsidP="001638B9">
      <w:pPr>
        <w:autoSpaceDE w:val="0"/>
        <w:autoSpaceDN w:val="0"/>
        <w:adjustRightInd w:val="0"/>
        <w:spacing w:line="360" w:lineRule="auto"/>
        <w:rPr>
          <w:rFonts w:cs="Arial"/>
          <w:i/>
          <w:color w:val="31849B" w:themeColor="accent5" w:themeShade="BF"/>
        </w:rPr>
      </w:pPr>
    </w:p>
    <w:p w:rsidR="001638B9" w:rsidRDefault="001638B9" w:rsidP="001638B9">
      <w:pPr>
        <w:autoSpaceDE w:val="0"/>
        <w:autoSpaceDN w:val="0"/>
        <w:adjustRightInd w:val="0"/>
        <w:spacing w:line="360" w:lineRule="auto"/>
        <w:rPr>
          <w:rFonts w:cs="Arial"/>
          <w:b/>
          <w:color w:val="0070C0"/>
        </w:rPr>
      </w:pPr>
      <w:r w:rsidRPr="001638B9">
        <w:rPr>
          <w:rFonts w:cs="Arial"/>
          <w:b/>
          <w:color w:val="0070C0"/>
        </w:rPr>
        <w:t>More information</w:t>
      </w:r>
    </w:p>
    <w:p w:rsidR="001638B9" w:rsidRPr="001638B9" w:rsidRDefault="001638B9" w:rsidP="001638B9">
      <w:pPr>
        <w:autoSpaceDE w:val="0"/>
        <w:autoSpaceDN w:val="0"/>
        <w:adjustRightInd w:val="0"/>
        <w:spacing w:line="360" w:lineRule="auto"/>
        <w:rPr>
          <w:rFonts w:cs="Arial"/>
          <w:b/>
          <w:color w:val="0070C0"/>
        </w:rPr>
      </w:pPr>
      <w:bookmarkStart w:id="1" w:name="_GoBack"/>
      <w:bookmarkEnd w:id="1"/>
    </w:p>
    <w:p w:rsidR="001638B9" w:rsidRPr="00257F76" w:rsidRDefault="001638B9" w:rsidP="001638B9">
      <w:pPr>
        <w:pStyle w:val="ListParagraph"/>
        <w:numPr>
          <w:ilvl w:val="2"/>
          <w:numId w:val="5"/>
        </w:numPr>
        <w:autoSpaceDE w:val="0"/>
        <w:autoSpaceDN w:val="0"/>
        <w:adjustRightInd w:val="0"/>
        <w:spacing w:line="360" w:lineRule="auto"/>
        <w:ind w:left="284" w:hanging="284"/>
        <w:rPr>
          <w:rFonts w:cs="Arial"/>
          <w:color w:val="000000"/>
        </w:rPr>
      </w:pPr>
      <w:r w:rsidRPr="00257F76">
        <w:rPr>
          <w:rFonts w:cs="Arial"/>
          <w:color w:val="000000"/>
        </w:rPr>
        <w:t xml:space="preserve">The </w:t>
      </w:r>
      <w:hyperlink r:id="rId9" w:history="1">
        <w:r w:rsidRPr="00257F76">
          <w:rPr>
            <w:rStyle w:val="Hyperlink"/>
            <w:rFonts w:cs="Arial"/>
            <w:color w:val="31849B" w:themeColor="accent5" w:themeShade="BF"/>
          </w:rPr>
          <w:t>Royal College of Psychiatrists</w:t>
        </w:r>
      </w:hyperlink>
      <w:r w:rsidRPr="00257F76">
        <w:rPr>
          <w:rFonts w:cs="Arial"/>
          <w:color w:val="000000"/>
        </w:rPr>
        <w:t xml:space="preserve"> have useful information on carers and confidentiality.  Whilst this is written from a mental health perspective, it is equally applicable to people in other circumstances.</w:t>
      </w:r>
    </w:p>
    <w:p w:rsidR="001638B9" w:rsidRPr="00257F76" w:rsidRDefault="001638B9" w:rsidP="001638B9">
      <w:pPr>
        <w:pStyle w:val="ListParagraph"/>
        <w:numPr>
          <w:ilvl w:val="2"/>
          <w:numId w:val="5"/>
        </w:numPr>
        <w:autoSpaceDE w:val="0"/>
        <w:autoSpaceDN w:val="0"/>
        <w:adjustRightInd w:val="0"/>
        <w:spacing w:line="360" w:lineRule="auto"/>
        <w:ind w:left="284" w:hanging="284"/>
        <w:rPr>
          <w:rFonts w:cs="Arial"/>
          <w:color w:val="000000"/>
        </w:rPr>
      </w:pPr>
      <w:r w:rsidRPr="00257F76">
        <w:rPr>
          <w:rFonts w:cs="Arial"/>
          <w:color w:val="000000"/>
        </w:rPr>
        <w:t xml:space="preserve">The </w:t>
      </w:r>
      <w:hyperlink r:id="rId10" w:history="1">
        <w:r w:rsidRPr="00257F76">
          <w:rPr>
            <w:rStyle w:val="Hyperlink"/>
            <w:rFonts w:cs="Arial"/>
            <w:color w:val="31849B" w:themeColor="accent5" w:themeShade="BF"/>
          </w:rPr>
          <w:t>General Medication Council</w:t>
        </w:r>
      </w:hyperlink>
      <w:r w:rsidRPr="00257F76">
        <w:rPr>
          <w:rFonts w:cs="Arial"/>
          <w:color w:val="000000"/>
        </w:rPr>
        <w:t xml:space="preserve"> has a good practice guide on confidentiality and patient information.</w:t>
      </w:r>
    </w:p>
    <w:p w:rsidR="001638B9" w:rsidRPr="00257F76" w:rsidRDefault="001638B9" w:rsidP="001638B9">
      <w:pPr>
        <w:pStyle w:val="ListParagraph"/>
        <w:numPr>
          <w:ilvl w:val="2"/>
          <w:numId w:val="5"/>
        </w:numPr>
        <w:autoSpaceDE w:val="0"/>
        <w:autoSpaceDN w:val="0"/>
        <w:adjustRightInd w:val="0"/>
        <w:spacing w:line="360" w:lineRule="auto"/>
        <w:ind w:left="284" w:hanging="284"/>
        <w:rPr>
          <w:rFonts w:cs="Arial"/>
          <w:color w:val="000000"/>
        </w:rPr>
      </w:pPr>
      <w:r w:rsidRPr="00257F76">
        <w:rPr>
          <w:rFonts w:cs="Arial"/>
          <w:color w:val="000000"/>
        </w:rPr>
        <w:t xml:space="preserve">The </w:t>
      </w:r>
      <w:hyperlink r:id="rId11" w:history="1">
        <w:r w:rsidRPr="00257F76">
          <w:rPr>
            <w:rStyle w:val="Hyperlink"/>
            <w:rFonts w:cs="Arial"/>
            <w:color w:val="31849B" w:themeColor="accent5" w:themeShade="BF"/>
          </w:rPr>
          <w:t>NHS has a Confidentiality Code of Practice</w:t>
        </w:r>
      </w:hyperlink>
      <w:r w:rsidRPr="00257F76">
        <w:rPr>
          <w:rFonts w:cs="Arial"/>
          <w:color w:val="000000"/>
        </w:rPr>
        <w:t>, published in 2003</w:t>
      </w:r>
    </w:p>
    <w:p w:rsidR="001638B9" w:rsidRPr="00257F76" w:rsidRDefault="001638B9" w:rsidP="001638B9">
      <w:pPr>
        <w:pStyle w:val="ListParagraph"/>
        <w:numPr>
          <w:ilvl w:val="2"/>
          <w:numId w:val="5"/>
        </w:numPr>
        <w:autoSpaceDE w:val="0"/>
        <w:autoSpaceDN w:val="0"/>
        <w:adjustRightInd w:val="0"/>
        <w:spacing w:line="360" w:lineRule="auto"/>
        <w:ind w:left="284" w:hanging="284"/>
        <w:rPr>
          <w:rFonts w:cs="Arial"/>
          <w:color w:val="000000"/>
        </w:rPr>
      </w:pPr>
      <w:r w:rsidRPr="00257F76">
        <w:rPr>
          <w:rFonts w:cs="Arial"/>
          <w:color w:val="000000"/>
        </w:rPr>
        <w:t xml:space="preserve">The </w:t>
      </w:r>
      <w:hyperlink r:id="rId12" w:history="1">
        <w:r w:rsidRPr="00257F76">
          <w:rPr>
            <w:rStyle w:val="Hyperlink"/>
            <w:rFonts w:cs="Arial"/>
            <w:color w:val="31849B" w:themeColor="accent5" w:themeShade="BF"/>
          </w:rPr>
          <w:t>British Medication Association Guidelines on Vulnerable Adults and Confidentiality</w:t>
        </w:r>
      </w:hyperlink>
      <w:r w:rsidRPr="00257F76">
        <w:rPr>
          <w:rFonts w:cs="Arial"/>
          <w:color w:val="000000"/>
        </w:rPr>
        <w:t xml:space="preserve"> provides guidance where adults retain capacity but health professionals believe that they are not making a free or informed choice.</w:t>
      </w:r>
    </w:p>
    <w:p w:rsidR="001638B9" w:rsidRPr="00257F76" w:rsidRDefault="001638B9" w:rsidP="001638B9">
      <w:pPr>
        <w:pStyle w:val="ListParagraph"/>
        <w:numPr>
          <w:ilvl w:val="2"/>
          <w:numId w:val="5"/>
        </w:numPr>
        <w:autoSpaceDE w:val="0"/>
        <w:autoSpaceDN w:val="0"/>
        <w:adjustRightInd w:val="0"/>
        <w:spacing w:line="360" w:lineRule="auto"/>
        <w:ind w:left="284" w:hanging="284"/>
        <w:rPr>
          <w:rFonts w:cs="Arial"/>
          <w:color w:val="000000"/>
        </w:rPr>
      </w:pPr>
      <w:r w:rsidRPr="009E043B">
        <w:rPr>
          <w:rFonts w:cs="Arial"/>
        </w:rPr>
        <w:t xml:space="preserve">The </w:t>
      </w:r>
      <w:hyperlink r:id="rId13" w:history="1">
        <w:r w:rsidRPr="00257F76">
          <w:rPr>
            <w:rStyle w:val="Hyperlink"/>
            <w:rFonts w:cs="Arial"/>
            <w:color w:val="31849B" w:themeColor="accent5" w:themeShade="BF"/>
          </w:rPr>
          <w:t>British Association of Social Workers Code of Ethics</w:t>
        </w:r>
      </w:hyperlink>
      <w:r w:rsidRPr="009E043B">
        <w:rPr>
          <w:rFonts w:cs="Arial"/>
        </w:rPr>
        <w:t xml:space="preserve"> includes information on confidentiality and sharing information appropr</w:t>
      </w:r>
      <w:r>
        <w:rPr>
          <w:rFonts w:cs="Arial"/>
        </w:rPr>
        <w:t>iately</w:t>
      </w:r>
    </w:p>
    <w:p w:rsidR="001638B9" w:rsidRPr="00257F76" w:rsidRDefault="001638B9" w:rsidP="001638B9">
      <w:pPr>
        <w:pStyle w:val="ListParagraph"/>
        <w:numPr>
          <w:ilvl w:val="2"/>
          <w:numId w:val="5"/>
        </w:numPr>
        <w:autoSpaceDE w:val="0"/>
        <w:autoSpaceDN w:val="0"/>
        <w:adjustRightInd w:val="0"/>
        <w:spacing w:line="360" w:lineRule="auto"/>
        <w:ind w:left="284" w:hanging="284"/>
        <w:rPr>
          <w:rFonts w:cs="Arial"/>
          <w:color w:val="000000"/>
        </w:rPr>
      </w:pPr>
      <w:r>
        <w:rPr>
          <w:rFonts w:cs="Arial"/>
        </w:rPr>
        <w:t xml:space="preserve">The </w:t>
      </w:r>
      <w:hyperlink r:id="rId14" w:history="1">
        <w:r w:rsidRPr="00257F76">
          <w:rPr>
            <w:rStyle w:val="Hyperlink"/>
            <w:rFonts w:cs="Arial"/>
            <w:color w:val="31849B" w:themeColor="accent5" w:themeShade="BF"/>
          </w:rPr>
          <w:t>Rethink Mental Illness</w:t>
        </w:r>
      </w:hyperlink>
      <w:r>
        <w:rPr>
          <w:rFonts w:cs="Arial"/>
        </w:rPr>
        <w:t xml:space="preserve"> and </w:t>
      </w:r>
      <w:hyperlink r:id="rId15" w:history="1">
        <w:r w:rsidRPr="00257F76">
          <w:rPr>
            <w:rStyle w:val="Hyperlink"/>
            <w:rFonts w:cs="Arial"/>
            <w:color w:val="31849B" w:themeColor="accent5" w:themeShade="BF"/>
          </w:rPr>
          <w:t>Mind</w:t>
        </w:r>
      </w:hyperlink>
      <w:r>
        <w:rPr>
          <w:rFonts w:cs="Arial"/>
        </w:rPr>
        <w:t xml:space="preserve"> websites have useful information about confidentiality and mental health.</w:t>
      </w:r>
    </w:p>
    <w:p w:rsidR="001638B9" w:rsidRPr="00257F76" w:rsidRDefault="001638B9" w:rsidP="001638B9">
      <w:pPr>
        <w:pStyle w:val="ListParagraph"/>
        <w:numPr>
          <w:ilvl w:val="2"/>
          <w:numId w:val="5"/>
        </w:numPr>
        <w:autoSpaceDE w:val="0"/>
        <w:autoSpaceDN w:val="0"/>
        <w:adjustRightInd w:val="0"/>
        <w:spacing w:line="360" w:lineRule="auto"/>
        <w:ind w:left="284" w:hanging="284"/>
        <w:rPr>
          <w:rFonts w:cs="Arial"/>
          <w:color w:val="000000"/>
        </w:rPr>
      </w:pPr>
      <w:r>
        <w:rPr>
          <w:rFonts w:cs="Arial"/>
        </w:rPr>
        <w:t xml:space="preserve">The </w:t>
      </w:r>
      <w:hyperlink r:id="rId16" w:history="1">
        <w:proofErr w:type="spellStart"/>
        <w:r w:rsidRPr="00257F76">
          <w:rPr>
            <w:rStyle w:val="Hyperlink"/>
            <w:rFonts w:cs="Arial"/>
            <w:color w:val="31849B" w:themeColor="accent5" w:themeShade="BF"/>
          </w:rPr>
          <w:t>Caldicott</w:t>
        </w:r>
        <w:proofErr w:type="spellEnd"/>
        <w:r w:rsidRPr="00257F76">
          <w:rPr>
            <w:rStyle w:val="Hyperlink"/>
            <w:rFonts w:cs="Arial"/>
            <w:color w:val="31849B" w:themeColor="accent5" w:themeShade="BF"/>
          </w:rPr>
          <w:t xml:space="preserve"> Principles</w:t>
        </w:r>
      </w:hyperlink>
      <w:r>
        <w:rPr>
          <w:rFonts w:cs="Arial"/>
        </w:rPr>
        <w:t xml:space="preserve"> set out a set of principles that health and social care organisations need to follow to ensure that information that can identify a patient is protected and only used when it is appropriate to do so.</w:t>
      </w:r>
    </w:p>
    <w:p w:rsidR="001638B9" w:rsidRDefault="001638B9" w:rsidP="00B27AB9">
      <w:pPr>
        <w:spacing w:line="360" w:lineRule="auto"/>
        <w:jc w:val="center"/>
        <w:rPr>
          <w:b/>
          <w:color w:val="4F81BD" w:themeColor="accent1"/>
          <w:sz w:val="32"/>
          <w:szCs w:val="32"/>
        </w:rPr>
      </w:pPr>
    </w:p>
    <w:sectPr w:rsidR="001638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53D0"/>
    <w:multiLevelType w:val="hybridMultilevel"/>
    <w:tmpl w:val="1A26A67C"/>
    <w:lvl w:ilvl="0" w:tplc="08090001">
      <w:start w:val="1"/>
      <w:numFmt w:val="bullet"/>
      <w:lvlText w:val=""/>
      <w:lvlJc w:val="left"/>
      <w:pPr>
        <w:ind w:left="720" w:hanging="360"/>
      </w:pPr>
      <w:rPr>
        <w:rFonts w:ascii="Symbol" w:hAnsi="Symbol" w:hint="default"/>
      </w:rPr>
    </w:lvl>
    <w:lvl w:ilvl="1" w:tplc="BD807D24">
      <w:start w:val="5"/>
      <w:numFmt w:val="bullet"/>
      <w:lvlText w:val="-"/>
      <w:lvlJc w:val="left"/>
      <w:pPr>
        <w:ind w:left="1440" w:hanging="360"/>
      </w:pPr>
      <w:rPr>
        <w:rFonts w:ascii="Arial" w:eastAsia="Times New Roman" w:hAnsi="Arial" w:cs="Times New Roman" w:hint="default"/>
      </w:rPr>
    </w:lvl>
    <w:lvl w:ilvl="2" w:tplc="E3F6F62C">
      <w:numFmt w:val="bullet"/>
      <w:lvlText w:val="-"/>
      <w:lvlJc w:val="left"/>
      <w:pPr>
        <w:ind w:left="2160" w:hanging="360"/>
      </w:pPr>
      <w:rPr>
        <w:rFonts w:ascii="Arial" w:eastAsia="Times New Roman" w:hAnsi="Arial"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193A5E"/>
    <w:multiLevelType w:val="hybridMultilevel"/>
    <w:tmpl w:val="8390B4F8"/>
    <w:lvl w:ilvl="0" w:tplc="1AC2D1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FF47E48"/>
    <w:multiLevelType w:val="hybridMultilevel"/>
    <w:tmpl w:val="EC0C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CD24E6"/>
    <w:multiLevelType w:val="hybridMultilevel"/>
    <w:tmpl w:val="833ABE62"/>
    <w:lvl w:ilvl="0" w:tplc="6944AEEA">
      <w:start w:val="1"/>
      <w:numFmt w:val="bullet"/>
      <w:lvlText w:val="•"/>
      <w:lvlJc w:val="left"/>
      <w:pPr>
        <w:tabs>
          <w:tab w:val="num" w:pos="726"/>
        </w:tabs>
        <w:ind w:left="726" w:hanging="360"/>
      </w:pPr>
      <w:rPr>
        <w:rFonts w:ascii="Times New Roman" w:hAnsi="Times New Roman" w:hint="default"/>
      </w:rPr>
    </w:lvl>
    <w:lvl w:ilvl="1" w:tplc="E6B06FF8" w:tentative="1">
      <w:start w:val="1"/>
      <w:numFmt w:val="bullet"/>
      <w:lvlText w:val="•"/>
      <w:lvlJc w:val="left"/>
      <w:pPr>
        <w:tabs>
          <w:tab w:val="num" w:pos="1446"/>
        </w:tabs>
        <w:ind w:left="1446" w:hanging="360"/>
      </w:pPr>
      <w:rPr>
        <w:rFonts w:ascii="Times New Roman" w:hAnsi="Times New Roman" w:hint="default"/>
      </w:rPr>
    </w:lvl>
    <w:lvl w:ilvl="2" w:tplc="173CB83C" w:tentative="1">
      <w:start w:val="1"/>
      <w:numFmt w:val="bullet"/>
      <w:lvlText w:val="•"/>
      <w:lvlJc w:val="left"/>
      <w:pPr>
        <w:tabs>
          <w:tab w:val="num" w:pos="2166"/>
        </w:tabs>
        <w:ind w:left="2166" w:hanging="360"/>
      </w:pPr>
      <w:rPr>
        <w:rFonts w:ascii="Times New Roman" w:hAnsi="Times New Roman" w:hint="default"/>
      </w:rPr>
    </w:lvl>
    <w:lvl w:ilvl="3" w:tplc="83CC895C" w:tentative="1">
      <w:start w:val="1"/>
      <w:numFmt w:val="bullet"/>
      <w:lvlText w:val="•"/>
      <w:lvlJc w:val="left"/>
      <w:pPr>
        <w:tabs>
          <w:tab w:val="num" w:pos="2886"/>
        </w:tabs>
        <w:ind w:left="2886" w:hanging="360"/>
      </w:pPr>
      <w:rPr>
        <w:rFonts w:ascii="Times New Roman" w:hAnsi="Times New Roman" w:hint="default"/>
      </w:rPr>
    </w:lvl>
    <w:lvl w:ilvl="4" w:tplc="0304ED40" w:tentative="1">
      <w:start w:val="1"/>
      <w:numFmt w:val="bullet"/>
      <w:lvlText w:val="•"/>
      <w:lvlJc w:val="left"/>
      <w:pPr>
        <w:tabs>
          <w:tab w:val="num" w:pos="3606"/>
        </w:tabs>
        <w:ind w:left="3606" w:hanging="360"/>
      </w:pPr>
      <w:rPr>
        <w:rFonts w:ascii="Times New Roman" w:hAnsi="Times New Roman" w:hint="default"/>
      </w:rPr>
    </w:lvl>
    <w:lvl w:ilvl="5" w:tplc="3132D7A8" w:tentative="1">
      <w:start w:val="1"/>
      <w:numFmt w:val="bullet"/>
      <w:lvlText w:val="•"/>
      <w:lvlJc w:val="left"/>
      <w:pPr>
        <w:tabs>
          <w:tab w:val="num" w:pos="4326"/>
        </w:tabs>
        <w:ind w:left="4326" w:hanging="360"/>
      </w:pPr>
      <w:rPr>
        <w:rFonts w:ascii="Times New Roman" w:hAnsi="Times New Roman" w:hint="default"/>
      </w:rPr>
    </w:lvl>
    <w:lvl w:ilvl="6" w:tplc="D89450A0" w:tentative="1">
      <w:start w:val="1"/>
      <w:numFmt w:val="bullet"/>
      <w:lvlText w:val="•"/>
      <w:lvlJc w:val="left"/>
      <w:pPr>
        <w:tabs>
          <w:tab w:val="num" w:pos="5046"/>
        </w:tabs>
        <w:ind w:left="5046" w:hanging="360"/>
      </w:pPr>
      <w:rPr>
        <w:rFonts w:ascii="Times New Roman" w:hAnsi="Times New Roman" w:hint="default"/>
      </w:rPr>
    </w:lvl>
    <w:lvl w:ilvl="7" w:tplc="7ACC6A6A" w:tentative="1">
      <w:start w:val="1"/>
      <w:numFmt w:val="bullet"/>
      <w:lvlText w:val="•"/>
      <w:lvlJc w:val="left"/>
      <w:pPr>
        <w:tabs>
          <w:tab w:val="num" w:pos="5766"/>
        </w:tabs>
        <w:ind w:left="5766" w:hanging="360"/>
      </w:pPr>
      <w:rPr>
        <w:rFonts w:ascii="Times New Roman" w:hAnsi="Times New Roman" w:hint="default"/>
      </w:rPr>
    </w:lvl>
    <w:lvl w:ilvl="8" w:tplc="FC2A6B5C" w:tentative="1">
      <w:start w:val="1"/>
      <w:numFmt w:val="bullet"/>
      <w:lvlText w:val="•"/>
      <w:lvlJc w:val="left"/>
      <w:pPr>
        <w:tabs>
          <w:tab w:val="num" w:pos="6486"/>
        </w:tabs>
        <w:ind w:left="6486" w:hanging="360"/>
      </w:pPr>
      <w:rPr>
        <w:rFonts w:ascii="Times New Roman" w:hAnsi="Times New Roman" w:hint="default"/>
      </w:rPr>
    </w:lvl>
  </w:abstractNum>
  <w:abstractNum w:abstractNumId="4">
    <w:nsid w:val="3C8C0334"/>
    <w:multiLevelType w:val="hybridMultilevel"/>
    <w:tmpl w:val="5AC49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251A9E"/>
    <w:multiLevelType w:val="hybridMultilevel"/>
    <w:tmpl w:val="8894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6C6BE6"/>
    <w:multiLevelType w:val="hybridMultilevel"/>
    <w:tmpl w:val="412C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09068E"/>
    <w:multiLevelType w:val="hybridMultilevel"/>
    <w:tmpl w:val="5296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795E5D"/>
    <w:multiLevelType w:val="hybridMultilevel"/>
    <w:tmpl w:val="D1C6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240793"/>
    <w:multiLevelType w:val="hybridMultilevel"/>
    <w:tmpl w:val="9B441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3F6F62C">
      <w:numFmt w:val="bullet"/>
      <w:lvlText w:val="-"/>
      <w:lvlJc w:val="left"/>
      <w:pPr>
        <w:ind w:left="2160" w:hanging="360"/>
      </w:pPr>
      <w:rPr>
        <w:rFonts w:ascii="Arial" w:eastAsia="Times New Roman" w:hAnsi="Arial"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AC3331"/>
    <w:multiLevelType w:val="hybridMultilevel"/>
    <w:tmpl w:val="15A0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44544E"/>
    <w:multiLevelType w:val="hybridMultilevel"/>
    <w:tmpl w:val="FDB4A4B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9"/>
  </w:num>
  <w:num w:numId="6">
    <w:abstractNumId w:val="5"/>
  </w:num>
  <w:num w:numId="7">
    <w:abstractNumId w:val="3"/>
  </w:num>
  <w:num w:numId="8">
    <w:abstractNumId w:val="0"/>
  </w:num>
  <w:num w:numId="9">
    <w:abstractNumId w:val="7"/>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B9"/>
    <w:rsid w:val="00140DE9"/>
    <w:rsid w:val="001638B9"/>
    <w:rsid w:val="002329F5"/>
    <w:rsid w:val="0066510C"/>
    <w:rsid w:val="0081228D"/>
    <w:rsid w:val="00820757"/>
    <w:rsid w:val="008C1A32"/>
    <w:rsid w:val="00AE0A81"/>
    <w:rsid w:val="00AE4AEC"/>
    <w:rsid w:val="00B27AB9"/>
    <w:rsid w:val="00C67BFB"/>
    <w:rsid w:val="00C71F22"/>
    <w:rsid w:val="00F320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AB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7AB9"/>
    <w:rPr>
      <w:color w:val="0000FF"/>
      <w:u w:val="single"/>
    </w:rPr>
  </w:style>
  <w:style w:type="paragraph" w:styleId="ListParagraph">
    <w:name w:val="List Paragraph"/>
    <w:basedOn w:val="Normal"/>
    <w:uiPriority w:val="34"/>
    <w:qFormat/>
    <w:rsid w:val="00B27AB9"/>
    <w:pPr>
      <w:ind w:left="720"/>
      <w:contextualSpacing/>
    </w:pPr>
  </w:style>
  <w:style w:type="character" w:styleId="Emphasis">
    <w:name w:val="Emphasis"/>
    <w:uiPriority w:val="20"/>
    <w:qFormat/>
    <w:rsid w:val="00B27AB9"/>
    <w:rPr>
      <w:i/>
      <w:iCs/>
    </w:rPr>
  </w:style>
  <w:style w:type="paragraph" w:customStyle="1" w:styleId="Default">
    <w:name w:val="Default"/>
    <w:rsid w:val="00B27AB9"/>
    <w:pPr>
      <w:autoSpaceDE w:val="0"/>
      <w:autoSpaceDN w:val="0"/>
      <w:adjustRightInd w:val="0"/>
    </w:pPr>
    <w:rPr>
      <w:rFonts w:ascii="Wingdings" w:hAnsi="Wingdings" w:cs="Wingdings"/>
      <w:color w:val="000000"/>
      <w:sz w:val="24"/>
      <w:szCs w:val="24"/>
    </w:rPr>
  </w:style>
  <w:style w:type="character" w:styleId="FollowedHyperlink">
    <w:name w:val="FollowedHyperlink"/>
    <w:basedOn w:val="DefaultParagraphFont"/>
    <w:rsid w:val="008C1A32"/>
    <w:rPr>
      <w:color w:val="800080" w:themeColor="followedHyperlink"/>
      <w:u w:val="single"/>
    </w:rPr>
  </w:style>
  <w:style w:type="table" w:styleId="TableGrid">
    <w:name w:val="Table Grid"/>
    <w:basedOn w:val="TableNormal"/>
    <w:rsid w:val="0023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1228D"/>
    <w:rPr>
      <w:rFonts w:ascii="Tahoma" w:hAnsi="Tahoma" w:cs="Tahoma"/>
      <w:sz w:val="16"/>
      <w:szCs w:val="16"/>
    </w:rPr>
  </w:style>
  <w:style w:type="character" w:customStyle="1" w:styleId="BalloonTextChar">
    <w:name w:val="Balloon Text Char"/>
    <w:basedOn w:val="DefaultParagraphFont"/>
    <w:link w:val="BalloonText"/>
    <w:rsid w:val="00812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AB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7AB9"/>
    <w:rPr>
      <w:color w:val="0000FF"/>
      <w:u w:val="single"/>
    </w:rPr>
  </w:style>
  <w:style w:type="paragraph" w:styleId="ListParagraph">
    <w:name w:val="List Paragraph"/>
    <w:basedOn w:val="Normal"/>
    <w:uiPriority w:val="34"/>
    <w:qFormat/>
    <w:rsid w:val="00B27AB9"/>
    <w:pPr>
      <w:ind w:left="720"/>
      <w:contextualSpacing/>
    </w:pPr>
  </w:style>
  <w:style w:type="character" w:styleId="Emphasis">
    <w:name w:val="Emphasis"/>
    <w:uiPriority w:val="20"/>
    <w:qFormat/>
    <w:rsid w:val="00B27AB9"/>
    <w:rPr>
      <w:i/>
      <w:iCs/>
    </w:rPr>
  </w:style>
  <w:style w:type="paragraph" w:customStyle="1" w:styleId="Default">
    <w:name w:val="Default"/>
    <w:rsid w:val="00B27AB9"/>
    <w:pPr>
      <w:autoSpaceDE w:val="0"/>
      <w:autoSpaceDN w:val="0"/>
      <w:adjustRightInd w:val="0"/>
    </w:pPr>
    <w:rPr>
      <w:rFonts w:ascii="Wingdings" w:hAnsi="Wingdings" w:cs="Wingdings"/>
      <w:color w:val="000000"/>
      <w:sz w:val="24"/>
      <w:szCs w:val="24"/>
    </w:rPr>
  </w:style>
  <w:style w:type="character" w:styleId="FollowedHyperlink">
    <w:name w:val="FollowedHyperlink"/>
    <w:basedOn w:val="DefaultParagraphFont"/>
    <w:rsid w:val="008C1A32"/>
    <w:rPr>
      <w:color w:val="800080" w:themeColor="followedHyperlink"/>
      <w:u w:val="single"/>
    </w:rPr>
  </w:style>
  <w:style w:type="table" w:styleId="TableGrid">
    <w:name w:val="Table Grid"/>
    <w:basedOn w:val="TableNormal"/>
    <w:rsid w:val="0023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1228D"/>
    <w:rPr>
      <w:rFonts w:ascii="Tahoma" w:hAnsi="Tahoma" w:cs="Tahoma"/>
      <w:sz w:val="16"/>
      <w:szCs w:val="16"/>
    </w:rPr>
  </w:style>
  <w:style w:type="character" w:customStyle="1" w:styleId="BalloonTextChar">
    <w:name w:val="Balloon Text Char"/>
    <w:basedOn w:val="DefaultParagraphFont"/>
    <w:link w:val="BalloonText"/>
    <w:rsid w:val="00812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healthadvice/informationforcarers/carersandconfidentiality.aspx" TargetMode="External"/><Relationship Id="rId13" Type="http://schemas.openxmlformats.org/officeDocument/2006/relationships/hyperlink" Target="https://www.basw.co.uk/codeofethic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v.uk/government/publications/mental-capacity-act-code-of-practice" TargetMode="External"/><Relationship Id="rId12" Type="http://schemas.openxmlformats.org/officeDocument/2006/relationships/hyperlink" Target="https://www.bma.org.uk/advice/employment/ethics/mental-capacity/vulnerable-adults-and-confidential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gt.hscic.gov.uk/Caldicott2Principles.asp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v.uk/government/publications/confidentiality-nhs-code-of-practice" TargetMode="External"/><Relationship Id="rId5" Type="http://schemas.openxmlformats.org/officeDocument/2006/relationships/webSettings" Target="webSettings.xml"/><Relationship Id="rId15" Type="http://schemas.openxmlformats.org/officeDocument/2006/relationships/hyperlink" Target="https://www.mind.org.uk/information-support/legal-rights/" TargetMode="External"/><Relationship Id="rId10" Type="http://schemas.openxmlformats.org/officeDocument/2006/relationships/hyperlink" Target="https://www.gmc-uk.org/static/documents/content/Confidentiality_good_practice_in_handling_patient_information_-_English_0417.pdf" TargetMode="External"/><Relationship Id="rId4" Type="http://schemas.openxmlformats.org/officeDocument/2006/relationships/settings" Target="settings.xml"/><Relationship Id="rId9" Type="http://schemas.openxmlformats.org/officeDocument/2006/relationships/hyperlink" Target="http://www.rcpsych.ac.uk/healthadvice/partnersincarecampaign/carersandconfidentiality.aspx" TargetMode="External"/><Relationship Id="rId14" Type="http://schemas.openxmlformats.org/officeDocument/2006/relationships/hyperlink" Target="https://www.rethink.org/living-with-mental-illness/rights-restrictions/confidentiality/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3387</Characters>
  <Application>Microsoft Office Word</Application>
  <DocSecurity>0</DocSecurity>
  <Lines>82</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Starkie</dc:creator>
  <cp:keywords/>
  <dc:description/>
  <cp:lastModifiedBy>Joanne Starkie</cp:lastModifiedBy>
  <cp:revision>2</cp:revision>
  <dcterms:created xsi:type="dcterms:W3CDTF">2018-05-04T12:37:00Z</dcterms:created>
  <dcterms:modified xsi:type="dcterms:W3CDTF">2018-05-04T12:37:00Z</dcterms:modified>
</cp:coreProperties>
</file>